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597" w:rsidRPr="00EB6DFA" w:rsidRDefault="009B2597" w:rsidP="009B2597">
      <w:pPr>
        <w:jc w:val="both"/>
        <w:rPr>
          <w:rFonts w:ascii="Times New Roman" w:hAnsi="Times New Roman"/>
          <w:lang w:eastAsia="cs-CZ"/>
        </w:rPr>
      </w:pPr>
      <w:bookmarkStart w:id="0" w:name="_GoBack"/>
      <w:bookmarkEnd w:id="0"/>
    </w:p>
    <w:p w:rsidR="009B2597" w:rsidRPr="00EB6DFA" w:rsidRDefault="009B2597" w:rsidP="009B2597">
      <w:pPr>
        <w:jc w:val="both"/>
        <w:rPr>
          <w:rFonts w:ascii="Times New Roman" w:hAnsi="Times New Roman"/>
          <w:b/>
          <w:lang w:eastAsia="cs-CZ"/>
        </w:rPr>
      </w:pPr>
      <w:r w:rsidRPr="00EB6DFA">
        <w:rPr>
          <w:rFonts w:ascii="Times New Roman" w:hAnsi="Times New Roman"/>
          <w:lang w:eastAsia="cs-CZ"/>
        </w:rPr>
        <w:t xml:space="preserve">Určovanie </w:t>
      </w:r>
      <w:r>
        <w:rPr>
          <w:rFonts w:ascii="Times New Roman" w:hAnsi="Times New Roman"/>
          <w:lang w:eastAsia="cs-CZ"/>
        </w:rPr>
        <w:t xml:space="preserve">sadzby finančnej opravy </w:t>
      </w:r>
      <w:r w:rsidRPr="00EB6DFA">
        <w:rPr>
          <w:rFonts w:ascii="Times New Roman" w:hAnsi="Times New Roman"/>
          <w:lang w:eastAsia="cs-CZ"/>
        </w:rPr>
        <w:t xml:space="preserve">v nadväznosti na zistené porušenie pravidiel a postupov verejného obstarávania v zmysle ZVO. </w:t>
      </w:r>
      <w:r w:rsidRPr="00EB6DFA">
        <w:rPr>
          <w:rFonts w:ascii="Times New Roman" w:hAnsi="Times New Roman"/>
          <w:b/>
          <w:lang w:eastAsia="cs-CZ"/>
        </w:rPr>
        <w:t xml:space="preserve">Všetky percentuálne sadzby sa týkajú prípadov, keď konkrétne porušenie malo alebo mohlo mať vplyv na výsledok verejného obstarávania/obstarávania.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9B2597" w:rsidRPr="009D6162" w:rsidTr="00984AE0">
        <w:tc>
          <w:tcPr>
            <w:tcW w:w="675" w:type="dxa"/>
            <w:tcBorders>
              <w:bottom w:val="single" w:sz="4" w:space="0" w:color="auto"/>
            </w:tcBorders>
            <w:shd w:val="clear" w:color="auto" w:fill="95B3D7"/>
            <w:vAlign w:val="center"/>
          </w:tcPr>
          <w:p w:rsidR="009B2597" w:rsidRPr="009D6162" w:rsidRDefault="009B2597" w:rsidP="00984AE0">
            <w:pPr>
              <w:spacing w:after="0" w:line="240" w:lineRule="auto"/>
              <w:jc w:val="center"/>
              <w:rPr>
                <w:rFonts w:ascii="Times New Roman" w:eastAsia="Times New Roman" w:hAnsi="Times New Roman"/>
                <w:b/>
                <w:lang w:eastAsia="cs-CZ"/>
              </w:rPr>
            </w:pPr>
            <w:r w:rsidRPr="009D6162">
              <w:rPr>
                <w:rFonts w:ascii="Times New Roman" w:eastAsia="Times New Roman" w:hAnsi="Times New Roman"/>
                <w:b/>
                <w:lang w:eastAsia="cs-CZ"/>
              </w:rPr>
              <w:t>Č.</w:t>
            </w:r>
          </w:p>
        </w:tc>
        <w:tc>
          <w:tcPr>
            <w:tcW w:w="3720" w:type="dxa"/>
            <w:tcBorders>
              <w:bottom w:val="single" w:sz="4" w:space="0" w:color="auto"/>
            </w:tcBorders>
            <w:shd w:val="clear" w:color="auto" w:fill="95B3D7"/>
            <w:vAlign w:val="center"/>
          </w:tcPr>
          <w:p w:rsidR="009B2597" w:rsidRPr="009D6162" w:rsidRDefault="009B2597" w:rsidP="00984AE0">
            <w:pPr>
              <w:spacing w:after="0" w:line="240" w:lineRule="auto"/>
              <w:jc w:val="center"/>
              <w:rPr>
                <w:rFonts w:ascii="Times New Roman" w:eastAsia="Times New Roman" w:hAnsi="Times New Roman"/>
                <w:b/>
                <w:lang w:eastAsia="cs-CZ"/>
              </w:rPr>
            </w:pPr>
            <w:r w:rsidRPr="009D6162">
              <w:rPr>
                <w:rFonts w:ascii="Times New Roman" w:eastAsia="Times New Roman" w:hAnsi="Times New Roman"/>
                <w:b/>
                <w:lang w:eastAsia="cs-CZ"/>
              </w:rPr>
              <w:t>Názov porušenia</w:t>
            </w:r>
          </w:p>
        </w:tc>
        <w:tc>
          <w:tcPr>
            <w:tcW w:w="7087" w:type="dxa"/>
            <w:tcBorders>
              <w:bottom w:val="single" w:sz="4" w:space="0" w:color="auto"/>
            </w:tcBorders>
            <w:shd w:val="clear" w:color="auto" w:fill="95B3D7"/>
            <w:vAlign w:val="center"/>
          </w:tcPr>
          <w:p w:rsidR="009B2597" w:rsidRPr="009D6162" w:rsidRDefault="009B2597" w:rsidP="00984AE0">
            <w:pPr>
              <w:spacing w:after="0" w:line="240" w:lineRule="auto"/>
              <w:jc w:val="center"/>
              <w:rPr>
                <w:rFonts w:ascii="Times New Roman" w:eastAsia="Times New Roman" w:hAnsi="Times New Roman"/>
                <w:b/>
                <w:lang w:eastAsia="cs-CZ"/>
              </w:rPr>
            </w:pPr>
            <w:r w:rsidRPr="009D6162">
              <w:rPr>
                <w:rFonts w:ascii="Times New Roman" w:eastAsia="Times New Roman" w:hAnsi="Times New Roman"/>
                <w:b/>
                <w:lang w:eastAsia="cs-CZ"/>
              </w:rPr>
              <w:t>Popis porušenia/ príklady</w:t>
            </w:r>
          </w:p>
        </w:tc>
        <w:tc>
          <w:tcPr>
            <w:tcW w:w="2552" w:type="dxa"/>
            <w:tcBorders>
              <w:bottom w:val="single" w:sz="4" w:space="0" w:color="auto"/>
            </w:tcBorders>
            <w:shd w:val="clear" w:color="auto" w:fill="95B3D7"/>
            <w:vAlign w:val="center"/>
          </w:tcPr>
          <w:p w:rsidR="009B2597" w:rsidRPr="009D6162" w:rsidRDefault="009B2597" w:rsidP="00984AE0">
            <w:pPr>
              <w:spacing w:after="0" w:line="240" w:lineRule="auto"/>
              <w:jc w:val="center"/>
              <w:rPr>
                <w:rFonts w:ascii="Times New Roman" w:eastAsia="Times New Roman" w:hAnsi="Times New Roman"/>
                <w:b/>
                <w:lang w:eastAsia="cs-CZ"/>
              </w:rPr>
            </w:pPr>
            <w:r w:rsidRPr="009D6162">
              <w:rPr>
                <w:rFonts w:ascii="Times New Roman" w:eastAsia="Times New Roman" w:hAnsi="Times New Roman"/>
                <w:b/>
                <w:lang w:eastAsia="cs-CZ"/>
              </w:rPr>
              <w:t xml:space="preserve">Výška finančnej opravy </w:t>
            </w:r>
          </w:p>
        </w:tc>
      </w:tr>
      <w:tr w:rsidR="009B2597" w:rsidRPr="009D6162" w:rsidTr="00984AE0">
        <w:tc>
          <w:tcPr>
            <w:tcW w:w="14034" w:type="dxa"/>
            <w:gridSpan w:val="4"/>
            <w:shd w:val="clear" w:color="auto" w:fill="BFBFBF"/>
            <w:vAlign w:val="center"/>
          </w:tcPr>
          <w:p w:rsidR="009B2597" w:rsidRPr="009D6162" w:rsidRDefault="009B2597" w:rsidP="00984AE0">
            <w:pPr>
              <w:spacing w:after="0" w:line="240" w:lineRule="auto"/>
              <w:jc w:val="center"/>
              <w:rPr>
                <w:rFonts w:ascii="Times New Roman" w:eastAsia="Times New Roman" w:hAnsi="Times New Roman"/>
                <w:b/>
                <w:lang w:eastAsia="cs-CZ"/>
              </w:rPr>
            </w:pPr>
            <w:r w:rsidRPr="009D6162">
              <w:rPr>
                <w:rFonts w:ascii="Times New Roman" w:eastAsia="Times New Roman" w:hAnsi="Times New Roman"/>
                <w:b/>
                <w:lang w:eastAsia="cs-CZ"/>
              </w:rPr>
              <w:t>Vyhlásenie verejného obstarávania, špecifikácia v súťažných podkladoch</w:t>
            </w:r>
          </w:p>
        </w:tc>
      </w:tr>
      <w:tr w:rsidR="009B2597" w:rsidRPr="009D6162" w:rsidTr="00984AE0">
        <w:trPr>
          <w:trHeight w:val="301"/>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sidRPr="009D6162">
              <w:rPr>
                <w:rFonts w:ascii="Times New Roman" w:eastAsia="Times New Roman" w:hAnsi="Times New Roman"/>
                <w:lang w:eastAsia="cs-CZ"/>
              </w:rPr>
              <w:t>1.</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Nedodržanie postupov zverejňovania zákazky alebo neoprávnené použitie priameho rokovacieho konania</w:t>
            </w:r>
          </w:p>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Verejný obstarávateľ</w:t>
            </w:r>
            <w:r w:rsidRPr="009D6162">
              <w:rPr>
                <w:rFonts w:ascii="Times New Roman" w:eastAsia="Times New Roman" w:hAnsi="Times New Roman"/>
                <w:vertAlign w:val="superscript"/>
                <w:lang w:eastAsia="cs-CZ"/>
              </w:rPr>
              <w:footnoteReference w:id="1"/>
            </w:r>
            <w:r w:rsidRPr="009D6162">
              <w:rPr>
                <w:rFonts w:ascii="Times New Roman" w:eastAsia="Times New Roman" w:hAnsi="Times New Roman"/>
                <w:lang w:eastAsia="cs-CZ"/>
              </w:rPr>
              <w:t xml:space="preserve"> neposlal oznámenie o vyhlásení verejného obstarávania publikačnému úradu a ÚVO podľa § 27 ZVO za účelom jeho zverejnenia v európskom vestníku a vestníku ÚVO.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Verejný obstarávateľ neposlal výzvu na predkladanie ponúk na zverejnenie do vestníka ÚVO v prípade bežného postupu pre podlimitné zákazky.</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ZVO v zmysle § 1 ods. 2 až 1</w:t>
            </w:r>
            <w:r>
              <w:rPr>
                <w:rFonts w:ascii="Times New Roman" w:eastAsia="Times New Roman" w:hAnsi="Times New Roman"/>
                <w:lang w:eastAsia="cs-CZ"/>
              </w:rPr>
              <w:t>4</w:t>
            </w:r>
            <w:r w:rsidRPr="009D6162">
              <w:rPr>
                <w:rFonts w:ascii="Times New Roman" w:eastAsia="Times New Roman" w:hAnsi="Times New Roman"/>
                <w:lang w:eastAsia="cs-CZ"/>
              </w:rPr>
              <w:t xml:space="preserve"> ZVO, uzavretie zmluvy priamym rokovacím konaním podľa § 81 ZVO bez splnenia podmienok na jeho použitie</w:t>
            </w:r>
            <w:r w:rsidRPr="009D6162">
              <w:rPr>
                <w:rFonts w:ascii="Times New Roman" w:eastAsia="Times New Roman" w:hAnsi="Times New Roman"/>
                <w:sz w:val="24"/>
                <w:szCs w:val="24"/>
                <w:lang w:eastAsia="sk-SK"/>
              </w:rPr>
              <w:t xml:space="preserve">, </w:t>
            </w:r>
            <w:r w:rsidRPr="009D6162">
              <w:rPr>
                <w:rFonts w:ascii="Times New Roman" w:eastAsia="Times New Roman" w:hAnsi="Times New Roman"/>
                <w:lang w:eastAsia="cs-CZ"/>
              </w:rPr>
              <w:t>nesprávne zaradenie zákazky do prílohy č. 1 k ZVO a uplatnenie postupu zadávania zákazky s nízkou hodnotou alebo podlimitnej zákazky, pričom mal byť použitý postup pre nadlimitnú zákazku a zároveň zákazka nebola zverejnená cez funkcionalitu elektronickej platformy.</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Pre uplatnenie finančnej opravy vo výške 100 % je potrebné splniť podmienku, že zákazka nebola vôbec zverejnená podľa pravidiel určených ZVO a mala byť zverejnená.</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100 % </w:t>
            </w: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12902"/>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Verejný obstarávateľ vyhlásil nadlimitnú zákazku, pričom oznámenie o vyhlásení verejného obstarávania nebolo zverejnené v európskom vestníku, ale zadávanie zákazky bolo korektne zverejnené vo vestníku ÚVO (verejný obstarávateľ nesprávne použil podlimitný formulár). </w:t>
            </w:r>
          </w:p>
          <w:p w:rsidR="009B2597" w:rsidRPr="009D6162" w:rsidRDefault="009B2597" w:rsidP="00984AE0">
            <w:pPr>
              <w:spacing w:after="0" w:line="240" w:lineRule="auto"/>
              <w:jc w:val="both"/>
              <w:rPr>
                <w:rFonts w:ascii="Times New Roman" w:eastAsia="Times New Roman" w:hAnsi="Times New Roman"/>
                <w:lang w:eastAsia="cs-CZ"/>
              </w:rPr>
            </w:pPr>
          </w:p>
          <w:p w:rsidR="009B2597"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Prijímateľ vyhlásil od 31.03.2022 </w:t>
            </w:r>
            <w:r>
              <w:rPr>
                <w:rFonts w:ascii="Times New Roman" w:eastAsia="Times New Roman" w:hAnsi="Times New Roman"/>
                <w:lang w:eastAsia="cs-CZ"/>
              </w:rPr>
              <w:t xml:space="preserve">do 31.7.2024 </w:t>
            </w:r>
            <w:r w:rsidRPr="009D6162">
              <w:rPr>
                <w:rFonts w:ascii="Times New Roman" w:eastAsia="Times New Roman" w:hAnsi="Times New Roman"/>
                <w:lang w:eastAsia="cs-CZ"/>
              </w:rPr>
              <w:t xml:space="preserve">zákazku s nízkou hodnotou nižšieho rozsahu do 70 000 eur bez DPH v prípade tovarov a služieb, do 180 000 eur bez DPH v prípade stavebných prác a do 260 000 eur bez DPH v prípade služieb podľa prílohy č. 1 k ZVO (ďalej len „zákazky s nízkou hodnotou nižšieho rozsahu“)  a nebolo preukázané vyhnutie sa použitiu </w:t>
            </w:r>
            <w:r>
              <w:rPr>
                <w:rFonts w:ascii="Times New Roman" w:eastAsia="Times New Roman" w:hAnsi="Times New Roman"/>
                <w:lang w:eastAsia="cs-CZ"/>
              </w:rPr>
              <w:t>pravidiel a postupov podľa ZVO,</w:t>
            </w:r>
            <w:r w:rsidRPr="009D6162">
              <w:rPr>
                <w:rFonts w:ascii="Times New Roman" w:eastAsia="Times New Roman" w:hAnsi="Times New Roman"/>
                <w:lang w:eastAsia="cs-CZ"/>
              </w:rPr>
              <w:t xml:space="preserve"> ale prijímateľ v prípade zákazky s nízkou hodnotou nižšieho rozsahu neoslovil prostredníctvom funkcionality elektronickej platf</w:t>
            </w:r>
            <w:r>
              <w:rPr>
                <w:rFonts w:ascii="Times New Roman" w:eastAsia="Times New Roman" w:hAnsi="Times New Roman"/>
                <w:lang w:eastAsia="cs-CZ"/>
              </w:rPr>
              <w:t>ormy minimálne troch záujemcov.</w:t>
            </w:r>
          </w:p>
          <w:p w:rsidR="009B2597" w:rsidRDefault="009B2597" w:rsidP="00984AE0">
            <w:pPr>
              <w:spacing w:after="0" w:line="240" w:lineRule="auto"/>
              <w:jc w:val="both"/>
              <w:rPr>
                <w:rFonts w:ascii="Times New Roman" w:eastAsia="Times New Roman" w:hAnsi="Times New Roman"/>
                <w:lang w:eastAsia="cs-CZ"/>
              </w:rPr>
            </w:pPr>
          </w:p>
          <w:p w:rsidR="009B2597" w:rsidRDefault="009B2597" w:rsidP="00984AE0">
            <w:pPr>
              <w:spacing w:after="0" w:line="240" w:lineRule="auto"/>
              <w:jc w:val="both"/>
              <w:rPr>
                <w:rFonts w:ascii="Times New Roman" w:eastAsia="Times New Roman" w:hAnsi="Times New Roman"/>
                <w:lang w:eastAsia="cs-CZ"/>
              </w:rPr>
            </w:pPr>
            <w:r w:rsidRPr="00B92EC3">
              <w:rPr>
                <w:rFonts w:ascii="Times New Roman" w:eastAsia="Times New Roman" w:hAnsi="Times New Roman"/>
                <w:lang w:eastAsia="cs-CZ"/>
              </w:rPr>
              <w:t xml:space="preserve">Prijímateľ vyhlásil od </w:t>
            </w:r>
            <w:r>
              <w:rPr>
                <w:rFonts w:ascii="Times New Roman" w:eastAsia="Times New Roman" w:hAnsi="Times New Roman"/>
                <w:lang w:eastAsia="cs-CZ"/>
              </w:rPr>
              <w:t>01</w:t>
            </w:r>
            <w:r w:rsidRPr="00B92EC3">
              <w:rPr>
                <w:rFonts w:ascii="Times New Roman" w:eastAsia="Times New Roman" w:hAnsi="Times New Roman"/>
                <w:lang w:eastAsia="cs-CZ"/>
              </w:rPr>
              <w:t>.0</w:t>
            </w:r>
            <w:r>
              <w:rPr>
                <w:rFonts w:ascii="Times New Roman" w:eastAsia="Times New Roman" w:hAnsi="Times New Roman"/>
                <w:lang w:eastAsia="cs-CZ"/>
              </w:rPr>
              <w:t>8</w:t>
            </w:r>
            <w:r w:rsidRPr="00B92EC3">
              <w:rPr>
                <w:rFonts w:ascii="Times New Roman" w:eastAsia="Times New Roman" w:hAnsi="Times New Roman"/>
                <w:lang w:eastAsia="cs-CZ"/>
              </w:rPr>
              <w:t>.202</w:t>
            </w:r>
            <w:r>
              <w:rPr>
                <w:rFonts w:ascii="Times New Roman" w:eastAsia="Times New Roman" w:hAnsi="Times New Roman"/>
                <w:lang w:eastAsia="cs-CZ"/>
              </w:rPr>
              <w:t>4</w:t>
            </w:r>
            <w:r w:rsidRPr="00B92EC3">
              <w:rPr>
                <w:rFonts w:ascii="Times New Roman" w:eastAsia="Times New Roman" w:hAnsi="Times New Roman"/>
                <w:lang w:eastAsia="cs-CZ"/>
              </w:rPr>
              <w:t xml:space="preserve"> </w:t>
            </w:r>
            <w:r>
              <w:rPr>
                <w:rFonts w:ascii="Times New Roman" w:eastAsia="Times New Roman" w:hAnsi="Times New Roman"/>
                <w:lang w:eastAsia="cs-CZ"/>
              </w:rPr>
              <w:t xml:space="preserve">podlimitnú </w:t>
            </w:r>
            <w:r w:rsidRPr="00B92EC3">
              <w:rPr>
                <w:rFonts w:ascii="Times New Roman" w:eastAsia="Times New Roman" w:hAnsi="Times New Roman"/>
                <w:lang w:eastAsia="cs-CZ"/>
              </w:rPr>
              <w:t xml:space="preserve">zákazku </w:t>
            </w:r>
            <w:r>
              <w:rPr>
                <w:rFonts w:ascii="Times New Roman" w:eastAsia="Times New Roman" w:hAnsi="Times New Roman"/>
                <w:lang w:eastAsia="cs-CZ"/>
              </w:rPr>
              <w:t>s oslovením záujemcov</w:t>
            </w:r>
            <w:r w:rsidRPr="00B92EC3">
              <w:rPr>
                <w:rFonts w:ascii="Times New Roman" w:eastAsia="Times New Roman" w:hAnsi="Times New Roman"/>
                <w:lang w:eastAsia="cs-CZ"/>
              </w:rPr>
              <w:t>, ale neoslovil prostredníctvom funkcionality elektronickej platformy minimálne t</w:t>
            </w:r>
            <w:r>
              <w:rPr>
                <w:rFonts w:ascii="Times New Roman" w:eastAsia="Times New Roman" w:hAnsi="Times New Roman"/>
                <w:lang w:eastAsia="cs-CZ"/>
              </w:rPr>
              <w:t>ri hospodárske subjekty</w:t>
            </w:r>
            <w:r w:rsidRPr="00B92EC3">
              <w:rPr>
                <w:rFonts w:ascii="Times New Roman" w:eastAsia="Times New Roman" w:hAnsi="Times New Roman"/>
                <w:lang w:eastAsia="cs-CZ"/>
              </w:rPr>
              <w:t>. 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rsidR="009B2597" w:rsidRDefault="009B2597" w:rsidP="00984AE0">
            <w:pPr>
              <w:spacing w:after="0" w:line="240" w:lineRule="auto"/>
              <w:jc w:val="both"/>
              <w:rPr>
                <w:rFonts w:ascii="Times New Roman" w:eastAsia="Times New Roman" w:hAnsi="Times New Roman"/>
                <w:lang w:eastAsia="cs-CZ"/>
              </w:rPr>
            </w:pPr>
          </w:p>
          <w:p w:rsidR="009B2597" w:rsidRDefault="009B2597" w:rsidP="00984AE0">
            <w:pPr>
              <w:spacing w:after="0" w:line="240" w:lineRule="auto"/>
              <w:jc w:val="both"/>
              <w:rPr>
                <w:rFonts w:ascii="Times New Roman" w:eastAsia="Times New Roman" w:hAnsi="Times New Roman"/>
                <w:lang w:eastAsia="cs-CZ"/>
              </w:rPr>
            </w:pPr>
            <w:r w:rsidRPr="00A812AF">
              <w:rPr>
                <w:rFonts w:ascii="Times New Roman" w:eastAsia="Times New Roman" w:hAnsi="Times New Roman"/>
                <w:lang w:eastAsia="cs-CZ"/>
              </w:rPr>
              <w:t>Finančná oprava sa uplatní aj v tých prípadoch, ak prijímateľ oslovil s výzvou na predkladanie ponúk</w:t>
            </w:r>
            <w:r>
              <w:rPr>
                <w:rFonts w:ascii="Times New Roman" w:eastAsia="Times New Roman" w:hAnsi="Times New Roman"/>
                <w:lang w:eastAsia="cs-CZ"/>
              </w:rPr>
              <w:t xml:space="preserve"> </w:t>
            </w:r>
            <w:r w:rsidRPr="00A812AF">
              <w:rPr>
                <w:rFonts w:ascii="Times New Roman" w:eastAsia="Times New Roman" w:hAnsi="Times New Roman"/>
                <w:lang w:eastAsia="cs-CZ"/>
              </w:rPr>
              <w:t>iba dvoch vybraných záujemcov, pričom na relevantnom trhu bolo možné osloviť/identifikovať min. troch záujemcov.</w:t>
            </w:r>
          </w:p>
          <w:p w:rsidR="009B2597" w:rsidRDefault="009B2597" w:rsidP="00984AE0">
            <w:pPr>
              <w:spacing w:after="0" w:line="240" w:lineRule="auto"/>
              <w:jc w:val="both"/>
              <w:rPr>
                <w:rFonts w:ascii="Times New Roman" w:eastAsia="Times New Roman" w:hAnsi="Times New Roman"/>
                <w:lang w:eastAsia="cs-CZ"/>
              </w:rPr>
            </w:pPr>
          </w:p>
          <w:p w:rsidR="009B2597" w:rsidRDefault="009B2597" w:rsidP="00984AE0">
            <w:pPr>
              <w:spacing w:after="0" w:line="240" w:lineRule="auto"/>
              <w:jc w:val="both"/>
              <w:rPr>
                <w:rFonts w:ascii="Times New Roman" w:eastAsia="Times New Roman" w:hAnsi="Times New Roman"/>
                <w:lang w:eastAsia="cs-CZ"/>
              </w:rPr>
            </w:pPr>
            <w:r w:rsidRPr="00A812AF">
              <w:rPr>
                <w:rFonts w:ascii="Times New Roman" w:eastAsia="Times New Roman" w:hAnsi="Times New Roman"/>
                <w:lang w:eastAsia="cs-CZ"/>
              </w:rPr>
              <w:t>Verejný obstarávateľ postupoval v rozpore s § 58 ods. 1 ZVO, keď na nie bežne dostupné tovary, služby alebo stavebné práce využil dynamický nákupný systém.</w:t>
            </w:r>
            <w:r>
              <w:t xml:space="preserve"> </w:t>
            </w:r>
          </w:p>
          <w:p w:rsidR="009B2597" w:rsidRDefault="009B2597" w:rsidP="00984AE0">
            <w:pPr>
              <w:spacing w:after="0" w:line="240" w:lineRule="auto"/>
              <w:jc w:val="both"/>
              <w:rPr>
                <w:rFonts w:ascii="Times New Roman" w:eastAsia="Times New Roman" w:hAnsi="Times New Roman"/>
                <w:lang w:eastAsia="cs-CZ"/>
              </w:rPr>
            </w:pPr>
          </w:p>
          <w:p w:rsidR="009B2597" w:rsidRDefault="009B2597" w:rsidP="00984AE0">
            <w:pPr>
              <w:spacing w:after="0" w:line="240" w:lineRule="auto"/>
              <w:jc w:val="both"/>
              <w:rPr>
                <w:rFonts w:ascii="Times New Roman" w:eastAsia="Times New Roman" w:hAnsi="Times New Roman"/>
                <w:lang w:eastAsia="cs-CZ"/>
              </w:rPr>
            </w:pPr>
            <w:r w:rsidRPr="00A812AF">
              <w:rPr>
                <w:rFonts w:ascii="Times New Roman" w:eastAsia="Times New Roman" w:hAnsi="Times New Roman"/>
                <w:lang w:eastAsia="cs-CZ"/>
              </w:rPr>
              <w:t xml:space="preserve">Verejný obstarávateľ postupoval v rozpore s ustanovením § 108 ods. 1 písm. a) ZVO, keď zákazky na nie bežne dostupné tovary, nie bežne dostupné služby alebo stavebné práce zadával s využitím elektronického trhoviska (od </w:t>
            </w:r>
            <w:r w:rsidRPr="00A812AF">
              <w:rPr>
                <w:rFonts w:ascii="Times New Roman" w:eastAsia="Times New Roman" w:hAnsi="Times New Roman"/>
                <w:lang w:eastAsia="cs-CZ"/>
              </w:rPr>
              <w:lastRenderedPageBreak/>
              <w:t>31.03.2022 s uplatnením zjednodušeného postupu pre zákazky na bežne dostupné tovary a služby).</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 xml:space="preserve">25%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 </w:t>
            </w: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1559"/>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sidRPr="009D6162">
              <w:rPr>
                <w:rFonts w:ascii="Times New Roman" w:eastAsia="Times New Roman" w:hAnsi="Times New Roman"/>
                <w:lang w:eastAsia="cs-CZ"/>
              </w:rPr>
              <w:lastRenderedPageBreak/>
              <w:t>2</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Nedovolené rozdelenie predmetu zákazky </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Ide o rozdelenie predmetu zákazky s cieľom vyhnúť sa použitiu postupu zadávania nadlimitnej zákazky alebo postupu zadávania podlimitnej zákazky.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Verejný obstarávateľ porušil § 6 ods. 16 ZVO, ak namiesto vyhlásenia nadlimitnej zákazky rozdelil predmet zákazky a realizoval tak napr. niekoľko </w:t>
            </w:r>
            <w:r>
              <w:rPr>
                <w:rFonts w:ascii="Times New Roman" w:eastAsia="Times New Roman" w:hAnsi="Times New Roman"/>
                <w:lang w:eastAsia="cs-CZ"/>
              </w:rPr>
              <w:t xml:space="preserve">podlimitných </w:t>
            </w:r>
            <w:r w:rsidRPr="009D6162">
              <w:rPr>
                <w:rFonts w:ascii="Times New Roman" w:eastAsia="Times New Roman" w:hAnsi="Times New Roman"/>
                <w:lang w:eastAsia="cs-CZ"/>
              </w:rPr>
              <w:t xml:space="preserve">zákaziek, ktoré neboli zverejnené. </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100 %  vzťahuje sa na každú z rozdelených zákaziek</w:t>
            </w: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 </w:t>
            </w:r>
          </w:p>
        </w:tc>
      </w:tr>
      <w:tr w:rsidR="009B2597" w:rsidRPr="009D6162" w:rsidTr="00984AE0">
        <w:trPr>
          <w:trHeight w:val="4798"/>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Verejný obstarávateľ porušil § 6 ods. 16 ZVO, keď namiesto vyhlásenia nadlimitnej zákazky rozdelil predmet zákazky a vyhlásil podlimitné zákazky, ktoré boli korektne zverejnené vo vestníku ÚVO alebo prostredníctvom funkcionality elektronickej platformy.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Verejný obstarávateľ</w:t>
            </w:r>
            <w:r w:rsidRPr="009D6162">
              <w:rPr>
                <w:rFonts w:ascii="Times New Roman" w:eastAsia="Times New Roman" w:hAnsi="Times New Roman"/>
                <w:sz w:val="24"/>
                <w:szCs w:val="24"/>
                <w:lang w:eastAsia="sk-SK"/>
              </w:rPr>
              <w:t xml:space="preserve"> </w:t>
            </w:r>
            <w:r w:rsidRPr="009D6162">
              <w:rPr>
                <w:rFonts w:ascii="Times New Roman" w:eastAsia="Times New Roman" w:hAnsi="Times New Roman"/>
                <w:lang w:eastAsia="cs-CZ"/>
              </w:rPr>
              <w:t xml:space="preserve">porušil § 6 ods. 16 ZVO, keď namiesto vyhlásenia nadlimitnej alebo podlimitnej zákazky, vyhlásil </w:t>
            </w:r>
            <w:r>
              <w:rPr>
                <w:rFonts w:ascii="Times New Roman" w:eastAsia="Times New Roman" w:hAnsi="Times New Roman"/>
                <w:lang w:eastAsia="cs-CZ"/>
              </w:rPr>
              <w:t xml:space="preserve">do 31.07.2024 </w:t>
            </w:r>
            <w:r w:rsidRPr="009D6162">
              <w:rPr>
                <w:rFonts w:ascii="Times New Roman" w:eastAsia="Times New Roman" w:hAnsi="Times New Roman"/>
                <w:lang w:eastAsia="cs-CZ"/>
              </w:rPr>
              <w:t>zákazky s nízkou hodnotou, ktorých výzva na predkladanie ponúk bola zverejnená prostredníctvom funkcionality elektronickej platformy vo vestníku ÚVO.</w:t>
            </w:r>
          </w:p>
          <w:p w:rsidR="009B2597" w:rsidRPr="009D6162" w:rsidRDefault="009B2597" w:rsidP="00984AE0">
            <w:pPr>
              <w:spacing w:after="0" w:line="240" w:lineRule="auto"/>
              <w:jc w:val="both"/>
              <w:rPr>
                <w:rFonts w:ascii="Times New Roman" w:eastAsia="Times New Roman" w:hAnsi="Times New Roman"/>
                <w:lang w:eastAsia="cs-CZ"/>
              </w:rPr>
            </w:pPr>
          </w:p>
          <w:p w:rsidR="009B2597"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Verejný obstarávateľ porušil § 6 ods. 16 písm. b) ZVO, keď namiesto vyhlásenia </w:t>
            </w:r>
            <w:r>
              <w:rPr>
                <w:rFonts w:ascii="Times New Roman" w:eastAsia="Times New Roman" w:hAnsi="Times New Roman"/>
                <w:lang w:eastAsia="cs-CZ"/>
              </w:rPr>
              <w:t>bežného postupu pre podlimitné zákazky</w:t>
            </w:r>
            <w:r w:rsidRPr="009D6162">
              <w:rPr>
                <w:rFonts w:ascii="Times New Roman" w:eastAsia="Times New Roman" w:hAnsi="Times New Roman"/>
                <w:lang w:eastAsia="cs-CZ"/>
              </w:rPr>
              <w:t xml:space="preserve">, vyhlásil </w:t>
            </w:r>
            <w:r>
              <w:rPr>
                <w:rFonts w:ascii="Times New Roman" w:eastAsia="Times New Roman" w:hAnsi="Times New Roman"/>
                <w:lang w:eastAsia="cs-CZ"/>
              </w:rPr>
              <w:t xml:space="preserve">od 01.08.2024 </w:t>
            </w:r>
            <w:r w:rsidRPr="009D6162">
              <w:rPr>
                <w:rFonts w:ascii="Times New Roman" w:eastAsia="Times New Roman" w:hAnsi="Times New Roman"/>
                <w:lang w:eastAsia="cs-CZ"/>
              </w:rPr>
              <w:t xml:space="preserve">niekoľko </w:t>
            </w:r>
            <w:r>
              <w:rPr>
                <w:rFonts w:ascii="Times New Roman" w:eastAsia="Times New Roman" w:hAnsi="Times New Roman"/>
                <w:lang w:eastAsia="cs-CZ"/>
              </w:rPr>
              <w:t>podlimitných zákaziek s oslovením min. 3 hospodárskych subjektov</w:t>
            </w:r>
            <w:r w:rsidRPr="009D6162">
              <w:rPr>
                <w:rFonts w:ascii="Times New Roman" w:eastAsia="Times New Roman" w:hAnsi="Times New Roman"/>
                <w:lang w:eastAsia="cs-CZ"/>
              </w:rPr>
              <w:t>.</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Verejný obstarávateľ porušil § 6 ods. 16 písm. c) ZVO, keď </w:t>
            </w:r>
            <w:r>
              <w:rPr>
                <w:rFonts w:ascii="Times New Roman" w:eastAsia="Times New Roman" w:hAnsi="Times New Roman"/>
                <w:lang w:eastAsia="cs-CZ"/>
              </w:rPr>
              <w:t xml:space="preserve">od 01.08.2024 </w:t>
            </w:r>
            <w:r w:rsidRPr="009D6162">
              <w:rPr>
                <w:rFonts w:ascii="Times New Roman" w:eastAsia="Times New Roman" w:hAnsi="Times New Roman"/>
                <w:lang w:eastAsia="cs-CZ"/>
              </w:rPr>
              <w:t xml:space="preserve">namiesto vyhlásenia podlimitnej zákazky na stavebné práce s PHZ vyššou ako </w:t>
            </w:r>
            <w:r>
              <w:rPr>
                <w:rFonts w:ascii="Times New Roman" w:eastAsia="Times New Roman" w:hAnsi="Times New Roman"/>
                <w:lang w:eastAsia="cs-CZ"/>
              </w:rPr>
              <w:t>1 500</w:t>
            </w:r>
            <w:r w:rsidRPr="009D6162">
              <w:rPr>
                <w:rFonts w:ascii="Times New Roman" w:eastAsia="Times New Roman" w:hAnsi="Times New Roman"/>
                <w:lang w:eastAsia="cs-CZ"/>
              </w:rPr>
              <w:t xml:space="preserve"> 000 eur bez DPH, vyhlásil niekoľko podlimitných zákaziek na stavebné práce s PHZ nižšou ako </w:t>
            </w:r>
            <w:r>
              <w:rPr>
                <w:rFonts w:ascii="Times New Roman" w:eastAsia="Times New Roman" w:hAnsi="Times New Roman"/>
                <w:lang w:eastAsia="cs-CZ"/>
              </w:rPr>
              <w:t>1 500</w:t>
            </w:r>
            <w:r w:rsidRPr="009D6162">
              <w:rPr>
                <w:rFonts w:ascii="Times New Roman" w:eastAsia="Times New Roman" w:hAnsi="Times New Roman"/>
                <w:lang w:eastAsia="cs-CZ"/>
              </w:rPr>
              <w:t xml:space="preserve"> 000 eur bez DPH, na základe čoho sa vyhol podaniu námietok.</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25 % vzťahuje sa na každú z rozdelených zákaziek</w:t>
            </w: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c>
          <w:tcPr>
            <w:tcW w:w="675" w:type="dxa"/>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3</w:t>
            </w:r>
          </w:p>
        </w:tc>
        <w:tc>
          <w:tcPr>
            <w:tcW w:w="3720"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Neodôvodnenie nerozdelenia zákazky na časti</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Verejný obstarávateľ porušil ustanovenie § 28 ods. 2 ZVO, keď neuviedol v oznámení o vyhlásení verejného obstarávania alebo súťažných podkladoch odôvodnenie nerozdelenia zákazky na časti v prípade nadlimitnej zákazky</w:t>
            </w:r>
            <w:r>
              <w:rPr>
                <w:rFonts w:ascii="Times New Roman" w:eastAsia="Times New Roman" w:hAnsi="Times New Roman"/>
                <w:lang w:eastAsia="cs-CZ"/>
              </w:rPr>
              <w:t xml:space="preserve"> a zákazka mala byť podľa záverov kontroly rozdelená na časti</w:t>
            </w:r>
            <w:r w:rsidRPr="009D6162">
              <w:rPr>
                <w:rFonts w:ascii="Times New Roman" w:eastAsia="Times New Roman" w:hAnsi="Times New Roman"/>
                <w:lang w:eastAsia="cs-CZ"/>
              </w:rPr>
              <w:t>.</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Tento typ porušenia sa vťahuje aj na prípady, ak odôvodnenie nerozdelenia zákazky na časti nebolo dostatočné.</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5 %</w:t>
            </w:r>
          </w:p>
        </w:tc>
      </w:tr>
      <w:tr w:rsidR="009B2597" w:rsidRPr="009D6162" w:rsidTr="00984AE0">
        <w:trPr>
          <w:trHeight w:val="741"/>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lastRenderedPageBreak/>
              <w:t>4</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Nedodržanie minimálnej zákonnej lehoty na predkladanie ponúk</w:t>
            </w:r>
            <w:r w:rsidRPr="009D6162">
              <w:rPr>
                <w:rFonts w:ascii="Times New Roman" w:eastAsia="Times New Roman" w:hAnsi="Times New Roman"/>
                <w:vertAlign w:val="superscript"/>
                <w:lang w:eastAsia="cs-CZ"/>
              </w:rPr>
              <w:footnoteReference w:id="2"/>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alebo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Nedodržanie minimálnej zákonnej lehoty na predloženie žiadosti o účasť</w:t>
            </w:r>
            <w:r w:rsidRPr="009D6162">
              <w:rPr>
                <w:rFonts w:ascii="Times New Roman" w:eastAsia="Times New Roman" w:hAnsi="Times New Roman"/>
                <w:vertAlign w:val="superscript"/>
                <w:lang w:eastAsia="cs-CZ"/>
              </w:rPr>
              <w:footnoteReference w:id="3"/>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alebo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Nepredĺženie lehoty na predkladanie ponúk/lehoty na predkladanie žiadostí o účasť v prípade podstatných zmien v podmienkach zadávania zákazky</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Lehota na predkladanie ponúk (alebo na predloženie žiadosti o účasť) bola kratšia ako minimálna lehota ustanovená ZVO. V uvedenom prípade je potrebné zohľadniť zverejnenie predbežného oznámenia a predkladanie ponúk elektronickými prostriedkami (ak relevantné).</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prípade, že skrátenie lehoty bolo rovné alebo väčšie ako 85 % zo zákonnej lehoty alebo lehota na predkladanie ponúk bola 5 dní a menej.</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100 % </w:t>
            </w: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738"/>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prípade, že skrátenie lehoty bolo rovné alebo väčšie ako 50 % zo zákonnej lehoty, ale menšie ako 85%.</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25 % </w:t>
            </w:r>
          </w:p>
        </w:tc>
      </w:tr>
      <w:tr w:rsidR="009B2597" w:rsidRPr="009D6162" w:rsidTr="00984AE0">
        <w:trPr>
          <w:trHeight w:val="738"/>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rPr>
                <w:rFonts w:ascii="Times New Roman" w:eastAsia="Times New Roman" w:hAnsi="Times New Roman"/>
                <w:lang w:eastAsia="cs-CZ"/>
              </w:rPr>
            </w:pPr>
            <w:r w:rsidRPr="009D6162">
              <w:rPr>
                <w:rFonts w:ascii="Times New Roman" w:eastAsia="Times New Roman" w:hAnsi="Times New Roman"/>
                <w:lang w:eastAsia="cs-CZ"/>
              </w:rPr>
              <w:t>V prípade, že skrátenie lehoty bolo rovné alebo väčšie ako 30 % zo zákonnej lehoty, ale menšie ako 50%.</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Verejný obstarávateľ nepredĺžil lehotu na predkladanie ponúk/lehotu na predkladanie žiadostí o účasť v prípade podstatných zmien v podmienkach zadávania zákazky (napr. úprava podmienok účasti, ktorá zabezpečuje širšiu hospodársku súťaž) alebo nepredĺžil dostatočne lehotu na predkladanie ponúk/lehotu na predkladanie žiadostí o účasť v prípade podstatných zmien v podmienkach zadávania zákazky.</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10 %</w:t>
            </w:r>
          </w:p>
        </w:tc>
      </w:tr>
      <w:tr w:rsidR="009B2597" w:rsidRPr="009D6162" w:rsidTr="00984AE0">
        <w:trPr>
          <w:trHeight w:val="510"/>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prípade, že skrátenie lehoty bolo menšie ako 30 % zo zákonnej lehoty.</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5 % </w:t>
            </w:r>
          </w:p>
        </w:tc>
      </w:tr>
      <w:tr w:rsidR="009B2597" w:rsidRPr="009D6162" w:rsidTr="00984AE0">
        <w:trPr>
          <w:trHeight w:val="1770"/>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5</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Stanovenie lehoty na prijímanie žiadostí o súťažné podklady/súťažné podmienky (vzťahuje sa na verejnú súťaž, súťaž návrhov alebo bežný postup pre podlimitné zákazky)</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alebo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 xml:space="preserve">obmedzenie prístupu k súťažným podkladom alebo iným dokumentom, ktoré sú potrebné na vypracovanie žiadosti o účasť/ponuky </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Lehota stanovená na prijímanie žiadostí o súťažné podklady je rovnaká alebo kratšia ako 5 dní, čím sa vytvára neopodstatnená prekážka k otvorenej súťaži vo verejnom obstarávaní.</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Verejný obstarávateľ neposkytol bezodplatne neobmedzený, úplný a priamy prístup prostredníctvom elektronických prostriedkov k súťažným podkladom alebo iným dokumentom, ktoré sú potrebné na vypracovanie žiadosti                   o účasť/ponuky odo dňa uverejnenia oznámenia o vyhlásení verejného </w:t>
            </w:r>
            <w:r w:rsidRPr="009D6162">
              <w:rPr>
                <w:rFonts w:ascii="Times New Roman" w:eastAsia="Times New Roman" w:hAnsi="Times New Roman"/>
                <w:lang w:eastAsia="cs-CZ"/>
              </w:rPr>
              <w:lastRenderedPageBreak/>
              <w:t>obstarávania, oznámenia použitého ako výzva na súťaž, oznámenia                      o vyhlásení súťaže návrhov alebo oznámenia o koncesii v európskom vestníku.</w:t>
            </w:r>
            <w:r w:rsidRPr="009D6162">
              <w:rPr>
                <w:rFonts w:ascii="Times New Roman" w:eastAsia="Times New Roman" w:hAnsi="Times New Roman"/>
                <w:vertAlign w:val="superscript"/>
                <w:lang w:eastAsia="cs-CZ"/>
              </w:rPr>
              <w:t xml:space="preserve"> </w:t>
            </w:r>
            <w:r w:rsidRPr="009D6162">
              <w:rPr>
                <w:rFonts w:ascii="Times New Roman" w:eastAsia="Times New Roman" w:hAnsi="Times New Roman"/>
                <w:vertAlign w:val="superscript"/>
                <w:lang w:eastAsia="cs-CZ"/>
              </w:rPr>
              <w:footnoteReference w:id="4"/>
            </w:r>
            <w:r w:rsidRPr="009D6162">
              <w:rPr>
                <w:rFonts w:ascii="Times New Roman" w:eastAsia="Times New Roman" w:hAnsi="Times New Roman"/>
                <w:lang w:eastAsia="cs-CZ"/>
              </w:rPr>
              <w:t xml:space="preserve">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prípade, že súťažné podklady alebo iné dokumenty, ktoré sú potrebné na vypracovanie žiadosti o účasť/ponuky, boli až do uplynutia lehoty na predkladanie ponúk zverejnené v profile a verejný obstarávateľ k nim poskytol bezodplatne neobmedzený, úplný a priamy prístup prostredníctvom elektronických prostriedkov, finančná oprava sa neuplatňuje.</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 xml:space="preserve">25 % </w:t>
            </w: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1023"/>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prípade, ak lehota na prijímanie žiadostí o súťažné podklady je menej ako 50 % lehoty na predkladanie ponúk (v súlade s príslušnými ustanoveniami ZVO).</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10 % </w:t>
            </w: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982"/>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prípade, ak lehota na prijímanie žiadostí o súťažné podklady je menej ako 80 % lehoty na predkladanie ponúk (v súlade s príslušnými ustanoveniami ZVO).</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5 % </w:t>
            </w:r>
          </w:p>
        </w:tc>
      </w:tr>
      <w:tr w:rsidR="009B2597" w:rsidRPr="009D6162" w:rsidTr="00984AE0">
        <w:trPr>
          <w:trHeight w:val="1250"/>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6</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Nedodržanie postupov zverejňovania opravy oznámenia o vyhlásení verejného obstarávania/výzvy na predkladanie ponúk v prípade</w:t>
            </w:r>
          </w:p>
          <w:p w:rsidR="009B2597" w:rsidRPr="009D6162" w:rsidRDefault="009B2597" w:rsidP="00984AE0">
            <w:pPr>
              <w:numPr>
                <w:ilvl w:val="0"/>
                <w:numId w:val="1"/>
              </w:num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predĺženia lehoty na predkladanie ponúk</w:t>
            </w:r>
          </w:p>
          <w:p w:rsidR="009B2597" w:rsidRPr="009D6162" w:rsidRDefault="009B2597" w:rsidP="00984AE0">
            <w:pPr>
              <w:numPr>
                <w:ilvl w:val="0"/>
                <w:numId w:val="1"/>
              </w:num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predĺženia lehoty na žiadosti o účasť</w:t>
            </w:r>
            <w:r w:rsidRPr="009D6162">
              <w:rPr>
                <w:rFonts w:ascii="Times New Roman" w:eastAsia="Times New Roman" w:hAnsi="Times New Roman"/>
                <w:vertAlign w:val="superscript"/>
                <w:lang w:eastAsia="cs-CZ"/>
              </w:rPr>
              <w:footnoteReference w:id="5"/>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alebo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nepredĺženie lehoty na predkladanie ponúk </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Lehota na predkladanie ponúk (alebo lehota na predloženie žiadosti o účasť) bola predĺžená (jej pôvodne určená lehota bola v súlade so ZVO), pričom verejný obstarávateľ nezverejnil túto skutočnosť formou redakčnej opravy v európskom vestníku/vo vestníku ÚVO.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Verejný obstarávateľ nepredĺžil lehotu na predkladanie ponúk/lehotu na predkladanie žiadostí o účasť,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w:t>
            </w:r>
            <w:r w:rsidRPr="009D6162">
              <w:rPr>
                <w:rFonts w:ascii="Times New Roman" w:eastAsia="Times New Roman" w:hAnsi="Times New Roman"/>
                <w:lang w:eastAsia="cs-CZ"/>
              </w:rPr>
              <w:lastRenderedPageBreak/>
              <w:t>predkladanie ponúk za predpokladu, že o vysvetlenie požiada záujemca dostatočne vopred (v prípade podlimitných zákaziek).</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 xml:space="preserve">10 % </w:t>
            </w: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1477"/>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Lehota na predkladanie ponúk (alebo lehota na predloženie žiadosti o účasť) bola predĺžená (jej pôvodne určená lehota bola v súlade so ZVO), pričom verejný obstarávateľ nezverejnil túto skutočnosť formou redakčnej opravy v európskom vestníku/vo vestníku ÚVO,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5 %</w:t>
            </w:r>
          </w:p>
        </w:tc>
      </w:tr>
      <w:tr w:rsidR="009B2597" w:rsidRPr="009D6162" w:rsidTr="00984AE0">
        <w:trPr>
          <w:trHeight w:val="526"/>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7</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Neoprávnené použitie rokovacieho konania so zverejnením alebo súťažného dialógu</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Verejný obstarávateľ zadá zákazku na základe rokovacieho konania so zverejnením alebo postupom súťažného dialógu, avšak takýto postup nie je oprávnený aplikovať podľa dotknutých ustanovení ZVO.</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25 %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526"/>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10 %</w:t>
            </w:r>
          </w:p>
        </w:tc>
      </w:tr>
      <w:tr w:rsidR="009B2597" w:rsidRPr="009D6162" w:rsidTr="00984AE0">
        <w:trPr>
          <w:trHeight w:val="633"/>
        </w:trPr>
        <w:tc>
          <w:tcPr>
            <w:tcW w:w="675" w:type="dxa"/>
            <w:vMerge w:val="restart"/>
            <w:shd w:val="clear" w:color="auto" w:fill="auto"/>
          </w:tcPr>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sk-SK"/>
              </w:rPr>
            </w:pPr>
          </w:p>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sk-SK"/>
              </w:rPr>
              <w:t>8</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sk-SK"/>
              </w:rPr>
              <w:lastRenderedPageBreak/>
              <w:t>Nedodržanie povinnej elektronickej komunikácie pri zadávaní nadlimitných a podlimitných zákaziek VO po 18.10.2018 a nedodržanie pravidiel pre centralizovanú činnosť vo verejnom obstarávaní</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sk-SK"/>
              </w:rPr>
            </w:pPr>
            <w:r w:rsidRPr="009D6162">
              <w:rPr>
                <w:rFonts w:ascii="Times New Roman" w:eastAsia="Times New Roman" w:hAnsi="Times New Roman"/>
                <w:lang w:eastAsia="sk-SK"/>
              </w:rPr>
              <w:t>Verejný obstarávateľ nedodržal po 18.10.2018 povinnú elektronickú komunikáciu v prípade zadávania nadlimitnej alebo podlimitnej zákazky v súlade s § 20 ZVO alebo porušil pravidlá pre centralizovanú činnosť vo verejnom obstarávaní, čo malo vplyv na výsledok VO.</w:t>
            </w:r>
          </w:p>
          <w:p w:rsidR="009B2597" w:rsidRPr="009D6162" w:rsidRDefault="009B2597" w:rsidP="00984AE0">
            <w:pPr>
              <w:spacing w:after="0" w:line="240" w:lineRule="auto"/>
              <w:jc w:val="both"/>
              <w:rPr>
                <w:rFonts w:ascii="Times New Roman" w:eastAsia="Times New Roman" w:hAnsi="Times New Roman"/>
                <w:lang w:eastAsia="sk-SK"/>
              </w:rPr>
            </w:pPr>
          </w:p>
          <w:p w:rsidR="009B2597" w:rsidRPr="009D6162" w:rsidRDefault="009B2597" w:rsidP="00984AE0">
            <w:pPr>
              <w:spacing w:after="0" w:line="240" w:lineRule="auto"/>
              <w:jc w:val="both"/>
              <w:rPr>
                <w:rFonts w:ascii="Times New Roman" w:eastAsia="Times New Roman" w:hAnsi="Times New Roman"/>
                <w:lang w:eastAsia="sk-SK"/>
              </w:rPr>
            </w:pPr>
            <w:r w:rsidRPr="009D6162">
              <w:rPr>
                <w:rFonts w:ascii="Times New Roman" w:eastAsia="Times New Roman" w:hAnsi="Times New Roman"/>
                <w:lang w:eastAsia="sk-SK"/>
              </w:rPr>
              <w:t>Uvedený typ porušenia sa týka aj nedostatkov identifikovaných pri zadávaní zákaziek cez dynamický nákupný systém, uzatváraní rámcových dohôd</w:t>
            </w:r>
            <w:r w:rsidRPr="009D6162">
              <w:rPr>
                <w:rFonts w:ascii="Times New Roman" w:eastAsia="Times New Roman" w:hAnsi="Times New Roman"/>
                <w:vertAlign w:val="superscript"/>
                <w:lang w:eastAsia="cs-CZ"/>
              </w:rPr>
              <w:footnoteReference w:id="6"/>
            </w:r>
            <w:r w:rsidRPr="009D6162">
              <w:rPr>
                <w:rFonts w:ascii="Times New Roman" w:eastAsia="Times New Roman" w:hAnsi="Times New Roman"/>
                <w:lang w:eastAsia="sk-SK"/>
              </w:rPr>
              <w:t xml:space="preserve">, </w:t>
            </w:r>
            <w:r w:rsidRPr="009D6162">
              <w:rPr>
                <w:rFonts w:ascii="Times New Roman" w:eastAsia="Times New Roman" w:hAnsi="Times New Roman"/>
                <w:lang w:eastAsia="sk-SK"/>
              </w:rPr>
              <w:lastRenderedPageBreak/>
              <w:t xml:space="preserve">elektronických aukciách, postupov, v rámci ktorých sa ponuky predkladajú vo forme elektronického katalógu. </w:t>
            </w:r>
          </w:p>
          <w:p w:rsidR="009B2597" w:rsidRPr="009D6162" w:rsidDel="005A6F58"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sk-SK"/>
              </w:rPr>
            </w:pPr>
            <w:r w:rsidRPr="009D6162">
              <w:rPr>
                <w:rFonts w:ascii="Times New Roman" w:eastAsia="Times New Roman" w:hAnsi="Times New Roman"/>
                <w:lang w:eastAsia="sk-SK"/>
              </w:rPr>
              <w:lastRenderedPageBreak/>
              <w:t>25%</w:t>
            </w:r>
          </w:p>
          <w:p w:rsidR="009B2597" w:rsidRPr="009D6162" w:rsidRDefault="009B2597" w:rsidP="00984AE0">
            <w:pPr>
              <w:spacing w:after="0" w:line="240" w:lineRule="auto"/>
              <w:jc w:val="both"/>
              <w:rPr>
                <w:rFonts w:ascii="Times New Roman" w:eastAsia="Times New Roman" w:hAnsi="Times New Roman"/>
                <w:lang w:eastAsia="sk-SK"/>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632"/>
        </w:trPr>
        <w:tc>
          <w:tcPr>
            <w:tcW w:w="675" w:type="dxa"/>
            <w:vMerge/>
            <w:shd w:val="clear" w:color="auto" w:fill="auto"/>
          </w:tcPr>
          <w:p w:rsidR="009B2597" w:rsidRPr="009D6162" w:rsidRDefault="009B2597" w:rsidP="00984AE0">
            <w:pPr>
              <w:spacing w:after="0" w:line="240" w:lineRule="auto"/>
              <w:jc w:val="center"/>
              <w:rPr>
                <w:rFonts w:ascii="Times New Roman" w:eastAsia="Times New Roman" w:hAnsi="Times New Roman"/>
                <w:lang w:eastAsia="sk-SK"/>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sk-SK"/>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sk-SK"/>
              </w:rPr>
            </w:pPr>
            <w:r w:rsidRPr="009D6162">
              <w:rPr>
                <w:rFonts w:ascii="Times New Roman" w:eastAsia="Times New Roman" w:hAnsi="Times New Roman"/>
                <w:lang w:eastAsia="sk-SK"/>
              </w:rPr>
              <w:t>Verejný obstarávateľ nedodržal po 18.10.2018 povinnú elektronickú komunikáciu v prípade zadávania nadlimitnej alebo podlimitnej zákazky v súlade s § 20 ZVO alebo porušil pravidlá pre centralizovanú činnosť vo verejnom obstarávaní, čo mohlo mať vplyv na výsledok VO a/alebo uvedené pochybenie mohlo odradiť potenciálnych uchádzačov/záujemcov od predloženia ponuky/žiadosti o účasť.</w:t>
            </w:r>
          </w:p>
          <w:p w:rsidR="009B2597" w:rsidRPr="009D6162" w:rsidRDefault="009B2597" w:rsidP="00984AE0">
            <w:pPr>
              <w:spacing w:after="0" w:line="240" w:lineRule="auto"/>
              <w:jc w:val="both"/>
              <w:rPr>
                <w:rFonts w:ascii="Times New Roman" w:eastAsia="Times New Roman" w:hAnsi="Times New Roman"/>
                <w:lang w:eastAsia="sk-SK"/>
              </w:rPr>
            </w:pPr>
          </w:p>
          <w:p w:rsidR="009B2597" w:rsidRPr="009D6162" w:rsidRDefault="009B2597" w:rsidP="00984AE0">
            <w:pPr>
              <w:spacing w:after="0" w:line="240" w:lineRule="auto"/>
              <w:jc w:val="both"/>
              <w:rPr>
                <w:rFonts w:ascii="Times New Roman" w:eastAsia="Times New Roman" w:hAnsi="Times New Roman"/>
                <w:lang w:eastAsia="sk-SK"/>
              </w:rPr>
            </w:pPr>
            <w:r w:rsidRPr="009D6162">
              <w:rPr>
                <w:rFonts w:ascii="Times New Roman" w:eastAsia="Times New Roman" w:hAnsi="Times New Roman"/>
                <w:lang w:eastAsia="sk-SK"/>
              </w:rPr>
              <w:t>Uvedený typ porušenia sa týka aj nedostatkov identifikovaných pri zadávaní zákaziek cez dynamický nákupný systém, uzatváraní rámcových dohôd</w:t>
            </w:r>
            <w:r w:rsidRPr="009D6162">
              <w:rPr>
                <w:rFonts w:ascii="Times New Roman" w:eastAsia="Times New Roman" w:hAnsi="Times New Roman"/>
                <w:vertAlign w:val="superscript"/>
                <w:lang w:eastAsia="cs-CZ"/>
              </w:rPr>
              <w:footnoteReference w:id="7"/>
            </w:r>
            <w:r w:rsidRPr="009D6162">
              <w:rPr>
                <w:rFonts w:ascii="Times New Roman" w:eastAsia="Times New Roman" w:hAnsi="Times New Roman"/>
                <w:lang w:eastAsia="sk-SK"/>
              </w:rPr>
              <w:t>, elektronických aukciách, postupov, v rámci ktorých sa ponuky predkladajú vo forme elektronického katalógu.</w:t>
            </w:r>
          </w:p>
          <w:p w:rsidR="009B2597" w:rsidRPr="009D6162" w:rsidRDefault="009B2597" w:rsidP="00984AE0">
            <w:pPr>
              <w:spacing w:after="0" w:line="240" w:lineRule="auto"/>
              <w:jc w:val="both"/>
              <w:rPr>
                <w:rFonts w:ascii="Times New Roman" w:eastAsia="Times New Roman" w:hAnsi="Times New Roman"/>
                <w:lang w:eastAsia="sk-SK"/>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sk-SK"/>
              </w:rPr>
            </w:pPr>
            <w:r w:rsidRPr="009D6162">
              <w:rPr>
                <w:rFonts w:ascii="Times New Roman" w:eastAsia="Times New Roman" w:hAnsi="Times New Roman"/>
                <w:lang w:eastAsia="sk-SK"/>
              </w:rPr>
              <w:t>10 %</w:t>
            </w:r>
          </w:p>
        </w:tc>
      </w:tr>
      <w:tr w:rsidR="009B2597" w:rsidRPr="009D6162" w:rsidTr="00984AE0">
        <w:trPr>
          <w:trHeight w:val="845"/>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9</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Neuvedenie:</w:t>
            </w:r>
          </w:p>
          <w:p w:rsidR="009B2597" w:rsidRPr="009D6162" w:rsidRDefault="009B2597" w:rsidP="00984AE0">
            <w:pPr>
              <w:numPr>
                <w:ilvl w:val="0"/>
                <w:numId w:val="1"/>
              </w:num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podmienok účasti v oznámení o vyhlásení VO,</w:t>
            </w:r>
            <w:r w:rsidRPr="009D6162">
              <w:rPr>
                <w:rFonts w:ascii="Times New Roman" w:eastAsia="Times New Roman" w:hAnsi="Times New Roman"/>
                <w:lang w:eastAsia="sk-SK"/>
              </w:rPr>
              <w:t xml:space="preserve"> </w:t>
            </w:r>
            <w:r w:rsidRPr="009D6162">
              <w:rPr>
                <w:rFonts w:ascii="Times New Roman" w:eastAsia="Times New Roman" w:hAnsi="Times New Roman"/>
                <w:lang w:eastAsia="cs-CZ"/>
              </w:rPr>
              <w:t>resp. vo výzve na predkladanie ponúk,</w:t>
            </w:r>
          </w:p>
          <w:p w:rsidR="009B2597" w:rsidRPr="009D6162" w:rsidRDefault="009B2597" w:rsidP="00984AE0">
            <w:pPr>
              <w:numPr>
                <w:ilvl w:val="0"/>
                <w:numId w:val="1"/>
              </w:num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kritérií na vyhodnotenie ponúk (a váh kritérií) v oznámení o vyhlásení VO, resp. výzve na predkladanie ponúk alebo v súťažných podkladoch</w:t>
            </w:r>
          </w:p>
          <w:p w:rsidR="009B2597" w:rsidRPr="009D6162" w:rsidRDefault="009B2597" w:rsidP="00984AE0">
            <w:pPr>
              <w:numPr>
                <w:ilvl w:val="0"/>
                <w:numId w:val="1"/>
              </w:num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technických špecifikácií predmetu zákazky a zmluvných podmienok v súťažných podkladoch</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alebo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chýbajúce pravidlá uplatnenia kritérií na vyhodnotenie ponúk, resp. pravidlá uplatnenia kritérií sú upravené nedostatočne, neurčito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alebo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vysvetlenie alebo doplňujúce informácie k podmienkam účasti alebo kritériám na vyhodnotenie ponúk neboli poskytnuté všetkým záujemcom alebo neboli zverejnené</w:t>
            </w:r>
          </w:p>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 xml:space="preserve">Podmienky účasti a/alebo kritériá na vyhodnotenie ponúk, vrátane </w:t>
            </w:r>
            <w:proofErr w:type="spellStart"/>
            <w:r w:rsidRPr="009D6162">
              <w:rPr>
                <w:rFonts w:ascii="Times New Roman" w:eastAsia="Times New Roman" w:hAnsi="Times New Roman"/>
                <w:lang w:eastAsia="cs-CZ"/>
              </w:rPr>
              <w:t>váhovosti</w:t>
            </w:r>
            <w:proofErr w:type="spellEnd"/>
            <w:r w:rsidRPr="009D6162">
              <w:rPr>
                <w:rFonts w:ascii="Times New Roman" w:eastAsia="Times New Roman" w:hAnsi="Times New Roman"/>
                <w:lang w:eastAsia="cs-CZ"/>
              </w:rPr>
              <w:t xml:space="preserve"> nie sú uvedené v oznámení o vyhlásení VO a/alebo v súťažných podkladoch.</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25 %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2226"/>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Oznámenie o vyhlásení VO, ani súťažné podklady neobsahujú technické špecifikácie predmetu zákazky a/alebo zmluvné podmienky.</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oznámení o vyhlásení VO a/alebo v súťažných podkladoch absentuje detailný popis kritérií na vyhodnotenie ponúk a/alebo  absentujú pravidlá uplatnenia kritérií na vyhodnotenie ponúk, resp. pravidlá uplatnenia kritérií sú upravené nedostatočne, neurčito.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10 %</w:t>
            </w:r>
          </w:p>
        </w:tc>
      </w:tr>
      <w:tr w:rsidR="009B2597" w:rsidRPr="009D6162" w:rsidTr="00984AE0">
        <w:trPr>
          <w:trHeight w:val="494"/>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sidRPr="009D6162">
              <w:rPr>
                <w:rFonts w:ascii="Times New Roman" w:eastAsia="Times New Roman" w:hAnsi="Times New Roman"/>
                <w:lang w:eastAsia="cs-CZ"/>
              </w:rPr>
              <w:t>1</w:t>
            </w:r>
            <w:r>
              <w:rPr>
                <w:rFonts w:ascii="Times New Roman" w:eastAsia="Times New Roman" w:hAnsi="Times New Roman"/>
                <w:lang w:eastAsia="cs-CZ"/>
              </w:rPr>
              <w:t>0</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Nezákonné a/alebo diskriminačné podmienky účasti a/alebo kritéria na vyhodnotenie ponúk a/alebo technické špecifikácie predmetu zákazky stanovené v súťažných pokladoch alebo oznámení o vyhlásení VO/výzve na predkladanie ponúk, ktoré sú založené na neodôvodnenej národnej, regionálnej alebo miestnej preferencii určitých hospodárskych subjektov</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 </w:t>
            </w: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povinnosť hospodárskych subjektov mať už zriadenú spoločnosť alebo zástupcu v danej krajine, regióne alebo meste/obci alebo</w:t>
            </w: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povinnosť  uchádzača mať skúsenosť v danej krajine, regióne alebo meste/obci alebo</w:t>
            </w: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povinnosť uchádzača disponovať materiálno-technickým vybavením              v danej krajine, regióne alebo meste/obci alebo</w:t>
            </w: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použitie kritérií na vyhodnotenie ponúk, ktoré sú nezákonné a diskriminačné a sú založené na neodôvodnenej národnej, regionálnej alebo miestnej preferencii určitých hospodárskych subjektov.</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25 %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994"/>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Ide o prípady, ktorých demonštratívny výpočet je uvedený vyššie, ale bol predložený vyšší počet </w:t>
            </w:r>
            <w:r>
              <w:rPr>
                <w:rFonts w:ascii="Times New Roman" w:eastAsia="Times New Roman" w:hAnsi="Times New Roman"/>
                <w:lang w:eastAsia="cs-CZ"/>
              </w:rPr>
              <w:t xml:space="preserve">(viac ako dve ponuky) </w:t>
            </w:r>
            <w:r w:rsidRPr="009D6162">
              <w:rPr>
                <w:rFonts w:ascii="Times New Roman" w:eastAsia="Times New Roman" w:hAnsi="Times New Roman"/>
                <w:lang w:eastAsia="cs-CZ"/>
              </w:rPr>
              <w:t xml:space="preserve">ponúk uchádzačov, ktorí splnili podmienky účasti a požiadavky na predmet zákazky.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10 %</w:t>
            </w:r>
          </w:p>
        </w:tc>
      </w:tr>
      <w:tr w:rsidR="009B2597" w:rsidRPr="009D6162" w:rsidTr="00984AE0">
        <w:trPr>
          <w:trHeight w:val="70"/>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sidRPr="009D6162">
              <w:rPr>
                <w:rFonts w:ascii="Times New Roman" w:eastAsia="Times New Roman" w:hAnsi="Times New Roman"/>
                <w:lang w:eastAsia="cs-CZ"/>
              </w:rPr>
              <w:t>1</w:t>
            </w:r>
            <w:r>
              <w:rPr>
                <w:rFonts w:ascii="Times New Roman" w:eastAsia="Times New Roman" w:hAnsi="Times New Roman"/>
                <w:lang w:eastAsia="cs-CZ"/>
              </w:rPr>
              <w:t>1</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Iné nezákonné a/alebo diskriminačné podmienky účasti a/alebo kritéria na vyhodnotenie ponúk a/alebo technické </w:t>
            </w:r>
            <w:r w:rsidRPr="009D6162">
              <w:rPr>
                <w:rFonts w:ascii="Times New Roman" w:eastAsia="Times New Roman" w:hAnsi="Times New Roman"/>
                <w:lang w:eastAsia="cs-CZ"/>
              </w:rPr>
              <w:lastRenderedPageBreak/>
              <w:t>špecifikácie predmetu zákazky stanovené v súťažných pokladoch alebo oznámení o vyhlásení VO/výzve na predkladanie ponúk</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 xml:space="preserve">Ide o prípady, keď určené nezákonné alebo diskriminačné podmienky účasti a/alebo požiadavky na predmet zákazky a/alebo kritériá na vyhodnotenie ponúk znamenajú, že ponuku je spôsobilý predložiť iba jeden hospodársky </w:t>
            </w:r>
            <w:r w:rsidRPr="009D6162">
              <w:rPr>
                <w:rFonts w:ascii="Times New Roman" w:eastAsia="Times New Roman" w:hAnsi="Times New Roman"/>
                <w:lang w:eastAsia="cs-CZ"/>
              </w:rPr>
              <w:lastRenderedPageBreak/>
              <w:t>subjekt a uvedená situácia nie je odôvodniteľná jedinečným predmetom zákazky alebo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určenie minimálnych požiadaviek pre zákazku (týka sa minimálnych požiadaviek pre účely splnenia podmienok účasti, požiadaviek na predmet zákazky alebo kritérií na vyhodnotenie ponúk, ktoré nesúvisia s predmetom zákazky, čím sa nezabezpečí rovnaký prístup pre uchádzačov alebo dané požiadavky vytvárajú neopodstatnené  prekážky k otvorenej hospodárskej súťaži vo verejnom obstarávaní, napr. neprimerané požiadavky viažuce sa k predloženiu zoznamu dodávok tovaru, poskytnutých služieb alebo uskutočnených stavebných prác pre účely splnenia technickej alebo odbornej spôsobilosti.</w:t>
            </w:r>
          </w:p>
          <w:p w:rsidR="009B2597" w:rsidRPr="009D6162" w:rsidRDefault="009B2597" w:rsidP="00984AE0">
            <w:pPr>
              <w:spacing w:after="0" w:line="240" w:lineRule="auto"/>
              <w:jc w:val="both"/>
              <w:rPr>
                <w:rFonts w:ascii="Times New Roman" w:eastAsia="Times New Roman" w:hAnsi="Times New Roman"/>
                <w:lang w:eastAsia="cs-CZ"/>
              </w:rPr>
            </w:pPr>
          </w:p>
          <w:p w:rsidR="009B2597"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 a uvedené pochybenie sa týka nadlimitných zákaziek.</w:t>
            </w:r>
          </w:p>
          <w:p w:rsidR="009B2597" w:rsidRDefault="009B2597" w:rsidP="00984AE0">
            <w:pPr>
              <w:spacing w:after="0" w:line="240" w:lineRule="auto"/>
              <w:jc w:val="both"/>
              <w:rPr>
                <w:rFonts w:ascii="Times New Roman" w:eastAsia="Times New Roman" w:hAnsi="Times New Roman"/>
                <w:lang w:eastAsia="cs-CZ"/>
              </w:rPr>
            </w:pPr>
          </w:p>
          <w:p w:rsidR="009B2597" w:rsidRPr="00EE200D" w:rsidRDefault="009B2597" w:rsidP="00984AE0">
            <w:pPr>
              <w:spacing w:after="0" w:line="240" w:lineRule="auto"/>
              <w:jc w:val="both"/>
              <w:rPr>
                <w:rFonts w:ascii="Times New Roman" w:eastAsia="Times New Roman" w:hAnsi="Times New Roman"/>
                <w:lang w:eastAsia="cs-CZ"/>
              </w:rPr>
            </w:pPr>
            <w:r w:rsidRPr="00EE200D">
              <w:rPr>
                <w:rFonts w:ascii="Times New Roman" w:eastAsia="Times New Roman" w:hAnsi="Times New Roman"/>
                <w:lang w:eastAsia="cs-CZ"/>
              </w:rPr>
              <w:t xml:space="preserve">Verejný obstarávateľ porušil § 6 ods. 16  ZVO, ak bol obídený postup zadávania nadlimitnej alebo podlimitnej zákazky v dôsledku zahrnutia takej dodávky tovaru alebo poskytnutých služieb, ktoré nie sú nevyhnutné pri plnení zákazky na stavebné práce do PHZ. </w:t>
            </w:r>
          </w:p>
          <w:p w:rsidR="009B2597" w:rsidRPr="00EE200D"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EE200D">
              <w:rPr>
                <w:rFonts w:ascii="Times New Roman" w:eastAsia="Times New Roman" w:hAnsi="Times New Roman"/>
                <w:lang w:eastAsia="cs-CZ"/>
              </w:rPr>
              <w:t>Ostatné prípady nedovoleného spájania rôznorodých zákaziek, ktoré mohlo obmedziť hospodársku súťaž, keď iba jeden hospodársky subjekt bol spôsobilý predložiť ponuku, ktorá by spĺňala požiadavky na predmet zákazky.</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25 %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491"/>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rsidR="009B2597" w:rsidRPr="009D6162" w:rsidRDefault="009B2597" w:rsidP="00984AE0">
            <w:pPr>
              <w:numPr>
                <w:ilvl w:val="0"/>
                <w:numId w:val="1"/>
              </w:numPr>
              <w:spacing w:after="0" w:line="240" w:lineRule="auto"/>
              <w:contextualSpacing/>
              <w:jc w:val="both"/>
              <w:rPr>
                <w:rFonts w:ascii="Times New Roman" w:eastAsia="Times New Roman" w:hAnsi="Times New Roman"/>
                <w:lang w:eastAsia="cs-CZ"/>
              </w:rPr>
            </w:pPr>
            <w:r w:rsidRPr="009D6162">
              <w:rPr>
                <w:rFonts w:ascii="Times New Roman" w:eastAsia="Times New Roman" w:hAnsi="Times New Roman"/>
                <w:lang w:eastAsia="cs-CZ"/>
              </w:rPr>
              <w:t xml:space="preserve">určenie minimálnych požiadaviek pre zákazku (týka sa minimálnych požiadaviek pre účely splnenia podmienok účasti, požiadaviek na predmet zákazky alebo kritérií na vyhodnotenie ponúk, ktoré síce </w:t>
            </w:r>
            <w:r w:rsidRPr="009D6162">
              <w:rPr>
                <w:rFonts w:ascii="Times New Roman" w:eastAsia="Times New Roman" w:hAnsi="Times New Roman"/>
                <w:lang w:eastAsia="cs-CZ"/>
              </w:rPr>
              <w:lastRenderedPageBreak/>
              <w:t>súvisia s predmetom zákazky, ale nie sú primerané (napr. neprimeranosť minimálnych požiadaviek pre účely splnenia podmienok účasti s ohľadom na výšku predpokladanej hodnoty zákazky), čím sa nezabezpečí rovnaký prístup pre uchádzačov alebo dané požiadavky vytvárajú neopodstatnené  prekážky k otvorenej hospodárskej súťaži vo verejnom obstarávaní</w:t>
            </w:r>
          </w:p>
          <w:p w:rsidR="009B2597" w:rsidRPr="009D6162" w:rsidRDefault="009B2597" w:rsidP="00984AE0">
            <w:pPr>
              <w:spacing w:after="0" w:line="240" w:lineRule="auto"/>
              <w:ind w:left="720"/>
              <w:contextualSpacing/>
              <w:jc w:val="both"/>
              <w:rPr>
                <w:rFonts w:ascii="Times New Roman" w:eastAsia="Times New Roman" w:hAnsi="Times New Roman"/>
                <w:lang w:eastAsia="cs-CZ"/>
              </w:rPr>
            </w:pPr>
            <w:r w:rsidRPr="009D6162">
              <w:rPr>
                <w:rFonts w:ascii="Times New Roman" w:eastAsia="Times New Roman" w:hAnsi="Times New Roman"/>
                <w:lang w:eastAsia="cs-CZ"/>
              </w:rPr>
              <w:t>podmienky účasti boli určené ako kritérium na vyhodnotenie ponúk,</w:t>
            </w:r>
          </w:p>
          <w:p w:rsidR="009B2597" w:rsidRDefault="009B2597" w:rsidP="00984AE0">
            <w:pPr>
              <w:numPr>
                <w:ilvl w:val="0"/>
                <w:numId w:val="1"/>
              </w:numPr>
              <w:spacing w:after="0" w:line="240" w:lineRule="auto"/>
              <w:contextualSpacing/>
              <w:jc w:val="both"/>
              <w:rPr>
                <w:rFonts w:ascii="Times New Roman" w:eastAsia="Times New Roman" w:hAnsi="Times New Roman"/>
                <w:lang w:eastAsia="cs-CZ"/>
              </w:rPr>
            </w:pPr>
            <w:r w:rsidRPr="009D6162">
              <w:rPr>
                <w:rFonts w:ascii="Times New Roman" w:eastAsia="Times New Roman" w:hAnsi="Times New Roman"/>
                <w:lang w:eastAsia="cs-CZ"/>
              </w:rPr>
              <w:t>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 a uvedené pochybenie sa týka iných ako nadlimitných zákaziek</w:t>
            </w:r>
            <w:r>
              <w:rPr>
                <w:rFonts w:ascii="Times New Roman" w:eastAsia="Times New Roman" w:hAnsi="Times New Roman"/>
                <w:lang w:eastAsia="cs-CZ"/>
              </w:rPr>
              <w:t>.</w:t>
            </w:r>
          </w:p>
          <w:p w:rsidR="009B2597" w:rsidRDefault="009B2597" w:rsidP="00984AE0">
            <w:pPr>
              <w:spacing w:after="0" w:line="240" w:lineRule="auto"/>
              <w:contextualSpacing/>
              <w:jc w:val="both"/>
              <w:rPr>
                <w:rFonts w:ascii="Times New Roman" w:eastAsia="Times New Roman" w:hAnsi="Times New Roman"/>
                <w:lang w:eastAsia="cs-CZ"/>
              </w:rPr>
            </w:pPr>
          </w:p>
          <w:p w:rsidR="009B2597" w:rsidRPr="006A4BDE" w:rsidRDefault="009B2597" w:rsidP="00984AE0">
            <w:pPr>
              <w:spacing w:after="0" w:line="240" w:lineRule="auto"/>
              <w:contextualSpacing/>
              <w:jc w:val="both"/>
              <w:rPr>
                <w:rFonts w:ascii="Times New Roman" w:eastAsia="Times New Roman" w:hAnsi="Times New Roman"/>
                <w:lang w:eastAsia="cs-CZ"/>
              </w:rPr>
            </w:pPr>
            <w:r w:rsidRPr="00EE200D">
              <w:rPr>
                <w:rFonts w:ascii="Times New Roman" w:eastAsia="Times New Roman" w:hAnsi="Times New Roman"/>
                <w:lang w:eastAsia="cs-CZ"/>
              </w:rPr>
              <w:t>Ostatné prípady nedovoleného spájania rôznorodých zákaziek, ak viacero hospodárskych subjektov na trhu bolo spôsobilých predložiť ponuku</w:t>
            </w:r>
            <w:r>
              <w:rPr>
                <w:rFonts w:ascii="Times New Roman" w:eastAsia="Times New Roman" w:hAnsi="Times New Roman"/>
                <w:lang w:eastAsia="cs-CZ"/>
              </w:rPr>
              <w:t>.</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10 %</w:t>
            </w:r>
          </w:p>
        </w:tc>
      </w:tr>
      <w:tr w:rsidR="009B2597" w:rsidRPr="009D6162" w:rsidTr="00984AE0">
        <w:trPr>
          <w:trHeight w:val="491"/>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Ide o prípady, ktorých demonštratívny výpočet je uvedený vyššie, ale bol predložený vyšší počet ponúk uchádzačov</w:t>
            </w:r>
            <w:r>
              <w:rPr>
                <w:rFonts w:ascii="Times New Roman" w:eastAsia="Times New Roman" w:hAnsi="Times New Roman"/>
                <w:lang w:eastAsia="cs-CZ"/>
              </w:rPr>
              <w:t xml:space="preserve"> (viac ako dve ponuky)</w:t>
            </w:r>
            <w:r w:rsidRPr="009D6162">
              <w:rPr>
                <w:rFonts w:ascii="Times New Roman" w:eastAsia="Times New Roman" w:hAnsi="Times New Roman"/>
                <w:lang w:eastAsia="cs-CZ"/>
              </w:rPr>
              <w:t xml:space="preserve">, ktorí splnili podmienky účasti a požiadavky na predmet zákazky.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5 %</w:t>
            </w:r>
          </w:p>
        </w:tc>
      </w:tr>
      <w:tr w:rsidR="009B2597" w:rsidRPr="009D6162" w:rsidTr="00984AE0">
        <w:tc>
          <w:tcPr>
            <w:tcW w:w="675" w:type="dxa"/>
            <w:tcBorders>
              <w:bottom w:val="single" w:sz="4" w:space="0" w:color="auto"/>
            </w:tcBorders>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sidRPr="009D6162">
              <w:rPr>
                <w:rFonts w:ascii="Times New Roman" w:eastAsia="Times New Roman" w:hAnsi="Times New Roman"/>
                <w:lang w:eastAsia="cs-CZ"/>
              </w:rPr>
              <w:t>1</w:t>
            </w:r>
            <w:r>
              <w:rPr>
                <w:rFonts w:ascii="Times New Roman" w:eastAsia="Times New Roman" w:hAnsi="Times New Roman"/>
                <w:lang w:eastAsia="cs-CZ"/>
              </w:rPr>
              <w:t>2</w:t>
            </w:r>
          </w:p>
        </w:tc>
        <w:tc>
          <w:tcPr>
            <w:tcW w:w="3720"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Nedostatočne opísaný predmet zákazky</w:t>
            </w:r>
            <w:r w:rsidRPr="009D6162">
              <w:rPr>
                <w:rFonts w:ascii="Times New Roman" w:eastAsia="Times New Roman" w:hAnsi="Times New Roman"/>
                <w:vertAlign w:val="superscript"/>
                <w:lang w:eastAsia="cs-CZ"/>
              </w:rPr>
              <w:footnoteReference w:id="8"/>
            </w:r>
          </w:p>
        </w:tc>
        <w:tc>
          <w:tcPr>
            <w:tcW w:w="7087"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vertAlign w:val="superscript"/>
                <w:lang w:eastAsia="cs-CZ"/>
              </w:rPr>
            </w:pPr>
            <w:r w:rsidRPr="009D6162">
              <w:rPr>
                <w:rFonts w:ascii="Times New Roman" w:eastAsia="Times New Roman" w:hAnsi="Times New Roman"/>
                <w:lang w:eastAsia="cs-CZ"/>
              </w:rPr>
              <w:t>Opis predmetu zákazky v súťažných podkladoch je nedostatočný, nejasný, neurčitý, opísaný všeobecne, resp. neobsahuje rozhodujúce informácie pre uchádzačov rozhodné pre prípravu kvalifikovanej ponuky, čo môže ovplyvniť ich rozhodnutie predložiť ponuku/žiadosť o účasť.</w:t>
            </w:r>
            <w:r w:rsidRPr="009D6162">
              <w:rPr>
                <w:rFonts w:ascii="Times New Roman" w:eastAsia="Times New Roman" w:hAnsi="Times New Roman"/>
                <w:vertAlign w:val="superscript"/>
                <w:lang w:eastAsia="cs-CZ"/>
              </w:rPr>
              <w:t xml:space="preserve"> </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c>
          <w:tcPr>
            <w:tcW w:w="675" w:type="dxa"/>
            <w:tcBorders>
              <w:bottom w:val="single" w:sz="4" w:space="0" w:color="auto"/>
            </w:tcBorders>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sidRPr="009D6162">
              <w:rPr>
                <w:rFonts w:ascii="Times New Roman" w:eastAsia="Times New Roman" w:hAnsi="Times New Roman"/>
                <w:lang w:eastAsia="cs-CZ"/>
              </w:rPr>
              <w:t>1</w:t>
            </w:r>
            <w:r>
              <w:rPr>
                <w:rFonts w:ascii="Times New Roman" w:eastAsia="Times New Roman" w:hAnsi="Times New Roman"/>
                <w:lang w:eastAsia="cs-CZ"/>
              </w:rPr>
              <w:t>3</w:t>
            </w:r>
          </w:p>
        </w:tc>
        <w:tc>
          <w:tcPr>
            <w:tcW w:w="3720"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Obmedzenie možnosti použiť subdodávateľov</w:t>
            </w:r>
          </w:p>
        </w:tc>
        <w:tc>
          <w:tcPr>
            <w:tcW w:w="7087"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w:t>
            </w:r>
            <w:r w:rsidRPr="009D6162">
              <w:rPr>
                <w:rFonts w:ascii="Times New Roman" w:eastAsia="Times New Roman" w:hAnsi="Times New Roman"/>
                <w:lang w:eastAsia="cs-CZ"/>
              </w:rPr>
              <w:lastRenderedPageBreak/>
              <w:t>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5 %</w:t>
            </w:r>
          </w:p>
        </w:tc>
      </w:tr>
      <w:tr w:rsidR="009B2597" w:rsidRPr="009D6162" w:rsidTr="00984AE0">
        <w:tc>
          <w:tcPr>
            <w:tcW w:w="14034" w:type="dxa"/>
            <w:gridSpan w:val="4"/>
            <w:shd w:val="clear" w:color="auto" w:fill="BFBFBF"/>
            <w:vAlign w:val="center"/>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b/>
                <w:lang w:eastAsia="cs-CZ"/>
              </w:rPr>
              <w:t>Vyhodnocovanie ponúk/žiadostí o</w:t>
            </w:r>
            <w:r>
              <w:rPr>
                <w:rFonts w:ascii="Times New Roman" w:eastAsia="Times New Roman" w:hAnsi="Times New Roman"/>
                <w:b/>
                <w:lang w:eastAsia="cs-CZ"/>
              </w:rPr>
              <w:t> </w:t>
            </w:r>
            <w:r w:rsidRPr="009D6162">
              <w:rPr>
                <w:rFonts w:ascii="Times New Roman" w:eastAsia="Times New Roman" w:hAnsi="Times New Roman"/>
                <w:b/>
                <w:lang w:eastAsia="cs-CZ"/>
              </w:rPr>
              <w:t>účasť</w:t>
            </w:r>
          </w:p>
        </w:tc>
      </w:tr>
      <w:tr w:rsidR="009B2597" w:rsidRPr="009D6162" w:rsidTr="00984AE0">
        <w:tc>
          <w:tcPr>
            <w:tcW w:w="675" w:type="dxa"/>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14</w:t>
            </w:r>
          </w:p>
        </w:tc>
        <w:tc>
          <w:tcPr>
            <w:tcW w:w="3720"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Podmienky účasti alebo požiadavky na predmet zákazky (technické špecifikácie) boli upravené po otvorení ponúk/žiadostí o účasť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alebo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Podmienky účasti alebo požiadavky na predmet zákazky (technické špecifikácie) boli vyhodnotené v rozpore s oznámením o vyhlásení verejného obstarávania/výzvou na predkladanie ponúk a súťažnými podkladmi</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Podmienky účasti alebo požiadavky na predmet zákazky (technické špecifikácie) boli upravené počas vyhodnotenia ponúk/žiadostí o účasť, čo malo za následok prijatie ponúk/žiadostí o účasť uchádzačov/záujemcov, ktorých ponuky by neboli  prijaté alebo vylúčenie</w:t>
            </w:r>
            <w:r w:rsidRPr="009D6162">
              <w:rPr>
                <w:rFonts w:ascii="Times New Roman" w:eastAsia="Times New Roman" w:hAnsi="Times New Roman"/>
                <w:sz w:val="24"/>
                <w:szCs w:val="24"/>
                <w:lang w:eastAsia="sk-SK"/>
              </w:rPr>
              <w:t xml:space="preserve"> </w:t>
            </w:r>
            <w:r w:rsidRPr="009D6162">
              <w:rPr>
                <w:rFonts w:ascii="Times New Roman" w:eastAsia="Times New Roman" w:hAnsi="Times New Roman"/>
                <w:lang w:eastAsia="cs-CZ"/>
              </w:rPr>
              <w:t>uchádzačov/záujemcov, ktorých ponuka by bola prijatá, ak by sa postupovalo podľa zverejnených podmienok účasti alebo požiadaviek na predmet zákazky.</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Podmienky účasti alebo požiadavky na predmet zákazky (technické špecifikácie) boli vyhodnotené v rozpore s oznámením o vyhlásení verejného obstarávania/výzvou na predkladanie ponúk a súťažnými podkladmi,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25 %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1520"/>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15</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Vyhodnocovanie ponúk uchádzačov v rozpore s kritériami na vyhodnotenie ponúk/kritériami na výber obmedzeného počtu záujemcov v užšej súťaži a pravidlami na ich uplatnenie,</w:t>
            </w:r>
            <w:r w:rsidRPr="009D6162">
              <w:rPr>
                <w:rFonts w:ascii="Times New Roman" w:eastAsia="Times New Roman" w:hAnsi="Times New Roman"/>
                <w:sz w:val="24"/>
                <w:szCs w:val="24"/>
                <w:lang w:eastAsia="sk-SK"/>
              </w:rPr>
              <w:t xml:space="preserve"> </w:t>
            </w:r>
            <w:r w:rsidRPr="009D6162">
              <w:rPr>
                <w:rFonts w:ascii="Times New Roman" w:eastAsia="Times New Roman" w:hAnsi="Times New Roman"/>
                <w:lang w:eastAsia="cs-CZ"/>
              </w:rPr>
              <w:t>ktoré boli zverejnené v oznámení o vyhlásení verejného obstarávania/výzve na predkladanie ponúk a súťažných podkladoch</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alebo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Vyhodnocovanie ponúk uchádzačov na základe doplňujúcich kritérií na vyhodnotenie ponúk/kritérií na výber obmedzeného počtu záujemcov v užšej </w:t>
            </w:r>
            <w:r w:rsidRPr="009D6162">
              <w:rPr>
                <w:rFonts w:ascii="Times New Roman" w:eastAsia="Times New Roman" w:hAnsi="Times New Roman"/>
                <w:lang w:eastAsia="cs-CZ"/>
              </w:rPr>
              <w:lastRenderedPageBreak/>
              <w:t>súťaži, ktoré neboli zverejnené v oznámení o vyhlásení verejného obstarávania/výzve na predkladanie ponúk a súťažných podkladoch</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9D6162">
              <w:rPr>
                <w:rFonts w:ascii="Times New Roman" w:eastAsia="Times New Roman" w:hAnsi="Times New Roman"/>
                <w:lang w:eastAsia="cs-CZ"/>
              </w:rPr>
              <w:t>podkritériá</w:t>
            </w:r>
            <w:proofErr w:type="spellEnd"/>
            <w:r w:rsidRPr="009D6162">
              <w:rPr>
                <w:rFonts w:ascii="Times New Roman" w:eastAsia="Times New Roman" w:hAnsi="Times New Roman"/>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Finančná oprava 25 % sa uplatní, ak vyššie uvedené nedostatky mali diskriminačný charakter založený na národnej, regionálnej alebo miestnej preferencii určitých hospodárskych subjektov.</w:t>
            </w:r>
            <w:r w:rsidRPr="009D6162" w:rsidDel="00D41BDF">
              <w:rPr>
                <w:rFonts w:ascii="Times New Roman" w:eastAsia="Times New Roman" w:hAnsi="Times New Roman"/>
                <w:lang w:eastAsia="cs-CZ"/>
              </w:rPr>
              <w:t xml:space="preserve"> </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25 %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726"/>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9D6162">
              <w:rPr>
                <w:rFonts w:ascii="Times New Roman" w:eastAsia="Times New Roman" w:hAnsi="Times New Roman"/>
                <w:lang w:eastAsia="cs-CZ"/>
              </w:rPr>
              <w:t>podkritériá</w:t>
            </w:r>
            <w:proofErr w:type="spellEnd"/>
            <w:r w:rsidRPr="009D6162">
              <w:rPr>
                <w:rFonts w:ascii="Times New Roman" w:eastAsia="Times New Roman" w:hAnsi="Times New Roman"/>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10 %</w:t>
            </w:r>
          </w:p>
        </w:tc>
      </w:tr>
      <w:tr w:rsidR="009B2597" w:rsidRPr="009D6162" w:rsidTr="00984AE0">
        <w:trPr>
          <w:trHeight w:val="383"/>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16</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Nedostatky v dokumentácii k zadávaniu zákazky alebo chýbajúca dokumentácia alebo jej časť</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Verejný obstarávateľ opakovane v určenej lehote nepredložil kompletnú dokumentáciu k postupu zadávania zákazky, na základe čoho nie je možné overiť dodržiavanie pravidiel a postupov verejného obstarávania.</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100 %</w:t>
            </w:r>
          </w:p>
        </w:tc>
      </w:tr>
      <w:tr w:rsidR="009B2597" w:rsidRPr="009D6162" w:rsidTr="00984AE0">
        <w:trPr>
          <w:trHeight w:val="382"/>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Dokumentácia k postupu zadávania zákazky  je nedostatočná na posúdenie, či ponuky/žiadosti o účasť boli správne vyhodnotené, čo je v rozpore s princípom transparentnosti, napr. zápisnica z vyhodnotenia ponúk neexistuje alebo proces týkajúci sa konkrétneho prideľovania bodov pre každú ponuku je nejasný/nedostatočný z hľadiska transparentnosti alebo neexistuje.</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25 %</w:t>
            </w:r>
          </w:p>
        </w:tc>
      </w:tr>
      <w:tr w:rsidR="009B2597" w:rsidRPr="009D6162" w:rsidTr="00984AE0">
        <w:tc>
          <w:tcPr>
            <w:tcW w:w="675" w:type="dxa"/>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17</w:t>
            </w:r>
          </w:p>
        </w:tc>
        <w:tc>
          <w:tcPr>
            <w:tcW w:w="3720"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Rokovanie v priebehu súťaže alebo modifikácia (zmena) ponuky počas hodnotenia ponúk</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Verejný obstarávateľ umožní uchádzačovi/záujemcovi modifikovať (zmeniť) jeho ponuku/žiadosť o účasť počas hodnotenia ponúk/žiadosti o účasť, čo má za následok prijatie ponuky/žiadosti o účasť tohto uchádzača/záujemcu.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Vo verejnej súťaži alebo užšej súťaži verejný obstarávateľ rokuje s uchádzačmi/záujemcami počas hodnotiacej fázy, čo vedie k podstatnej </w:t>
            </w:r>
            <w:r w:rsidRPr="009D6162">
              <w:rPr>
                <w:rFonts w:ascii="Times New Roman" w:eastAsia="Times New Roman" w:hAnsi="Times New Roman"/>
                <w:lang w:eastAsia="cs-CZ"/>
              </w:rPr>
              <w:lastRenderedPageBreak/>
              <w:t>modifikácii (zmene) pôvodných podmienok uvedených v oznámení o vyhlásení verejného obstarávania/výzve na predkladanie ponúk alebo v súťažných podkladoch.</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25 %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c>
          <w:tcPr>
            <w:tcW w:w="675" w:type="dxa"/>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18</w:t>
            </w:r>
          </w:p>
        </w:tc>
        <w:tc>
          <w:tcPr>
            <w:tcW w:w="3720"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Prípravné trhové konzultácie alebo predbežného zapojenia záujemcov alebo uchádzačov, pri ktorých došlo k narušeniu hospodárskej súťaže</w:t>
            </w:r>
          </w:p>
        </w:tc>
        <w:tc>
          <w:tcPr>
            <w:tcW w:w="7087" w:type="dxa"/>
            <w:shd w:val="clear" w:color="auto" w:fill="auto"/>
          </w:tcPr>
          <w:p w:rsidR="009B2597"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Verejný obstarávateľ pred začatím postupu verejného obstarávania uskutočnil prípravné trhové konzultácie za účelom jeho prípravy a informovania hospodárskych subjektov o plánovanom postupe verejného obstarávania, pričom na tento účel najmä požiadal o radu alebo prijal radu od nezávislých odborníkov, nezávislých inštitúcií alebo od účastníkov trhu, ktorú možno použiť pri plánovaní alebo realizácii postupu verejného obstarávania, avšak pri vedení prípravných trhových konzultácií došlo k narušeniu hospodárskej súťaže a porušeniu princípu nediskriminácie a transparentnosti, nakoľko neboli prijaté</w:t>
            </w:r>
            <w:r w:rsidRPr="009D6162">
              <w:rPr>
                <w:rFonts w:ascii="Times New Roman" w:eastAsia="Times New Roman" w:hAnsi="Times New Roman"/>
                <w:sz w:val="24"/>
                <w:szCs w:val="24"/>
                <w:lang w:eastAsia="sk-SK"/>
              </w:rPr>
              <w:t xml:space="preserve"> </w:t>
            </w:r>
            <w:r w:rsidRPr="009D6162">
              <w:rPr>
                <w:rFonts w:ascii="Times New Roman" w:eastAsia="Times New Roman" w:hAnsi="Times New Roman"/>
                <w:lang w:eastAsia="cs-CZ"/>
              </w:rPr>
              <w:t>primerané opatrenia, aby sa účasťou daného záujemcu alebo uchádzača nenarušila hospodárska súťaž.</w:t>
            </w:r>
          </w:p>
          <w:p w:rsidR="009B2597"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Pr>
                <w:rFonts w:ascii="Times New Roman" w:eastAsia="Times New Roman" w:hAnsi="Times New Roman"/>
                <w:lang w:eastAsia="cs-CZ"/>
              </w:rPr>
              <w:t>Ide aj o prípady, a</w:t>
            </w:r>
            <w:r w:rsidRPr="00170704">
              <w:rPr>
                <w:rFonts w:ascii="Times New Roman" w:eastAsia="Times New Roman" w:hAnsi="Times New Roman"/>
                <w:lang w:eastAsia="cs-CZ"/>
              </w:rPr>
              <w:t>k bol</w:t>
            </w:r>
            <w:r>
              <w:rPr>
                <w:rFonts w:ascii="Times New Roman" w:eastAsia="Times New Roman" w:hAnsi="Times New Roman"/>
                <w:lang w:eastAsia="cs-CZ"/>
              </w:rPr>
              <w:t>o</w:t>
            </w:r>
            <w:r w:rsidRPr="00170704">
              <w:rPr>
                <w:rFonts w:ascii="Times New Roman" w:eastAsia="Times New Roman" w:hAnsi="Times New Roman"/>
                <w:lang w:eastAsia="cs-CZ"/>
              </w:rPr>
              <w:t xml:space="preserve"> identifikova</w:t>
            </w:r>
            <w:r>
              <w:rPr>
                <w:rFonts w:ascii="Times New Roman" w:eastAsia="Times New Roman" w:hAnsi="Times New Roman"/>
                <w:lang w:eastAsia="cs-CZ"/>
              </w:rPr>
              <w:t>né zistenie</w:t>
            </w:r>
            <w:r w:rsidRPr="00170704">
              <w:rPr>
                <w:rFonts w:ascii="Times New Roman" w:eastAsia="Times New Roman" w:hAnsi="Times New Roman"/>
                <w:lang w:eastAsia="cs-CZ"/>
              </w:rPr>
              <w:t>, kedy zainteresovaná osoba je na strane hospodárskeho subjektu, ktorý vypracoval súťažné podklady alebo ich časť (napr. vypracoval projektovú dokumentáciu) a zároveň uspel v postupe zadávania zákazky, v rámci ktorej boli použité tieto súťažné podklady, pričom uvedená skutočnosť mohla mať vplyv na výsledok zadávania zákazky</w:t>
            </w:r>
            <w:r>
              <w:rPr>
                <w:rFonts w:ascii="Times New Roman" w:eastAsia="Times New Roman" w:hAnsi="Times New Roman"/>
                <w:lang w:eastAsia="cs-CZ"/>
              </w:rPr>
              <w:t>.</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25 % </w:t>
            </w:r>
          </w:p>
        </w:tc>
      </w:tr>
      <w:tr w:rsidR="009B2597" w:rsidRPr="009D6162" w:rsidTr="00984AE0">
        <w:tc>
          <w:tcPr>
            <w:tcW w:w="675" w:type="dxa"/>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19</w:t>
            </w:r>
          </w:p>
        </w:tc>
        <w:tc>
          <w:tcPr>
            <w:tcW w:w="3720"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rámci rokovacieho konania so zverejnením nastala podstatná modifikácia (zmena) podmienok uvedených v oznámení o vyhlásení verejného obstarávania alebo v súťažných podkladoch</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25 %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c>
          <w:tcPr>
            <w:tcW w:w="675" w:type="dxa"/>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20</w:t>
            </w:r>
          </w:p>
        </w:tc>
        <w:tc>
          <w:tcPr>
            <w:tcW w:w="3720"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Neodôvodnené odmietnutie mimoriadne nízkej ponuky</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w:t>
            </w:r>
            <w:r w:rsidRPr="009D6162">
              <w:rPr>
                <w:rFonts w:ascii="Times New Roman" w:eastAsia="Times New Roman" w:hAnsi="Times New Roman"/>
                <w:lang w:eastAsia="cs-CZ"/>
              </w:rPr>
              <w:lastRenderedPageBreak/>
              <w:t>obstarávateľ vylúči ponuku uchádzača, ktorý na základe vysvetlenia mimoriadne nízkej ponuky dostatočne odôvodnil nízku úroveň cien alebo nákladov.</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25 %</w:t>
            </w:r>
          </w:p>
        </w:tc>
      </w:tr>
      <w:tr w:rsidR="009B2597" w:rsidRPr="009D6162" w:rsidTr="00984AE0">
        <w:tc>
          <w:tcPr>
            <w:tcW w:w="675" w:type="dxa"/>
            <w:tcBorders>
              <w:bottom w:val="single" w:sz="4" w:space="0" w:color="auto"/>
            </w:tcBorders>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21</w:t>
            </w:r>
          </w:p>
        </w:tc>
        <w:tc>
          <w:tcPr>
            <w:tcW w:w="3720"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Konflikt záujmov s vplyvom na výsledok verejného obstarávania</w:t>
            </w:r>
            <w:r w:rsidRPr="009D6162">
              <w:rPr>
                <w:rFonts w:ascii="Times New Roman" w:eastAsia="Times New Roman" w:hAnsi="Times New Roman"/>
                <w:vertAlign w:val="superscript"/>
                <w:lang w:eastAsia="cs-CZ"/>
              </w:rPr>
              <w:footnoteReference w:id="9"/>
            </w:r>
          </w:p>
        </w:tc>
        <w:tc>
          <w:tcPr>
            <w:tcW w:w="7087"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Konflikt záujmov medzi zainteresovanou osobou verejného obstarávateľa/prijímateľa a úspešným uchádzačom, v rámci ktorého neboli prijaté primerané opatrenia a vykonaná náprava.</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100 % </w:t>
            </w:r>
          </w:p>
          <w:p w:rsidR="009B2597" w:rsidRPr="009D6162" w:rsidRDefault="009B2597" w:rsidP="00984AE0">
            <w:pPr>
              <w:spacing w:after="0" w:line="240" w:lineRule="auto"/>
              <w:jc w:val="both"/>
              <w:rPr>
                <w:rFonts w:ascii="Times New Roman" w:eastAsia="Times New Roman" w:hAnsi="Times New Roman"/>
                <w:lang w:eastAsia="cs-CZ"/>
              </w:rPr>
            </w:pPr>
          </w:p>
        </w:tc>
      </w:tr>
      <w:tr w:rsidR="009B2597" w:rsidRPr="009D6162" w:rsidTr="00984AE0">
        <w:trPr>
          <w:trHeight w:val="213"/>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22</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Dohoda obmedzujúca súťaž potvrdená Protimonopolným úradom SR alebo súdom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alebo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Rozhodnutie ÚVO, podľa ktorého mal prijímateľ postupovať podľa § 40 ods. 8 písm. d) ZVO</w:t>
            </w:r>
            <w:r>
              <w:rPr>
                <w:rFonts w:ascii="Times New Roman" w:eastAsia="Times New Roman" w:hAnsi="Times New Roman"/>
                <w:lang w:eastAsia="cs-CZ"/>
              </w:rPr>
              <w:t xml:space="preserve"> a nepostupoval</w:t>
            </w:r>
          </w:p>
        </w:tc>
        <w:tc>
          <w:tcPr>
            <w:tcW w:w="7087"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100 %</w:t>
            </w:r>
          </w:p>
        </w:tc>
      </w:tr>
      <w:tr w:rsidR="009B2597" w:rsidRPr="009D6162" w:rsidTr="00984AE0">
        <w:trPr>
          <w:trHeight w:val="213"/>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Ide o prípady, ak iba účastníci kartelovej dohody predložia ponuku do postupu zadávania zákazky, ktorý je predmetom kontroly. Zároveň musí byť splnená podmienka, že účastníkom kartelovej dohody nie je verejný obstarávateľ alebo osoba vykonávajúca kontrolu postupu zadávania zákazky.</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25 %</w:t>
            </w:r>
          </w:p>
        </w:tc>
      </w:tr>
      <w:tr w:rsidR="009B2597" w:rsidRPr="009D6162" w:rsidTr="00984AE0">
        <w:trPr>
          <w:trHeight w:val="213"/>
        </w:trPr>
        <w:tc>
          <w:tcPr>
            <w:tcW w:w="675" w:type="dxa"/>
            <w:vMerge/>
            <w:tcBorders>
              <w:bottom w:val="single" w:sz="4" w:space="0" w:color="auto"/>
            </w:tcBorders>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Ide o prípady, ak okrem účastníkov kartelovej dohody predložil ponuku do postupu zadávania zákazky aj hospodársky subjekt/ subjekty, ktorý nie je účastníkom kartelovej dohody, ale napriek uvedenému, účastník kartelovej dohody sa stal úspešným uchádzačom. Zároveň musí byť splnená podmienka, že účastníkom kartelovej dohody nie je verejný obstarávateľ alebo osoba vykonávajúca kontrolu postupu zadávania zákazky.</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tcBorders>
              <w:bottom w:val="single" w:sz="4" w:space="0" w:color="auto"/>
            </w:tcBorders>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10 %</w:t>
            </w:r>
          </w:p>
        </w:tc>
      </w:tr>
      <w:tr w:rsidR="009B2597" w:rsidRPr="009D6162" w:rsidTr="00984AE0">
        <w:tc>
          <w:tcPr>
            <w:tcW w:w="14034" w:type="dxa"/>
            <w:gridSpan w:val="4"/>
            <w:shd w:val="clear" w:color="auto" w:fill="BFBFBF"/>
            <w:vAlign w:val="center"/>
          </w:tcPr>
          <w:p w:rsidR="009B2597" w:rsidRPr="009D6162" w:rsidRDefault="009B2597" w:rsidP="00984AE0">
            <w:pPr>
              <w:spacing w:after="0" w:line="240" w:lineRule="auto"/>
              <w:jc w:val="both"/>
              <w:rPr>
                <w:rFonts w:ascii="Times New Roman" w:eastAsia="Times New Roman" w:hAnsi="Times New Roman"/>
                <w:b/>
                <w:lang w:eastAsia="cs-CZ"/>
              </w:rPr>
            </w:pPr>
            <w:r w:rsidRPr="009D6162">
              <w:rPr>
                <w:rFonts w:ascii="Times New Roman" w:eastAsia="Times New Roman" w:hAnsi="Times New Roman"/>
                <w:b/>
                <w:lang w:eastAsia="cs-CZ"/>
              </w:rPr>
              <w:t>Realizácia zákazky</w:t>
            </w:r>
          </w:p>
        </w:tc>
      </w:tr>
      <w:tr w:rsidR="009B2597" w:rsidRPr="009D6162" w:rsidTr="00984AE0">
        <w:trPr>
          <w:trHeight w:val="315"/>
        </w:trPr>
        <w:tc>
          <w:tcPr>
            <w:tcW w:w="675" w:type="dxa"/>
            <w:vMerge w:val="restart"/>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r>
              <w:rPr>
                <w:rFonts w:ascii="Times New Roman" w:eastAsia="Times New Roman" w:hAnsi="Times New Roman"/>
                <w:lang w:eastAsia="cs-CZ"/>
              </w:rPr>
              <w:t>23</w:t>
            </w:r>
          </w:p>
        </w:tc>
        <w:tc>
          <w:tcPr>
            <w:tcW w:w="3720" w:type="dxa"/>
            <w:vMerge w:val="restart"/>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Zmena zmluvy (dodatok), ktorá nie je v súlade s pravidlami ustanovenými           v ZVO </w:t>
            </w: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Po uzavretí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Ide aj o prípady, keď uzavretá zmluva, rámcová dohoda alebo koncesná zmluva je v rozpore so súťažnými podkladmi alebo koncesnou dokumentáciou alebo s ponukou predloženou úspešným uchádzačom alebo uchádzačmi a prípady, keď bol znížený rozsah zákazky.</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Zároveň ide o prípady, ak neboli splnené podmienky na zmenu zmluvy, rámcovej dohody alebo koncesnej zmluvy podľa § 18</w:t>
            </w:r>
            <w:r>
              <w:rPr>
                <w:rFonts w:ascii="Times New Roman" w:eastAsia="Times New Roman" w:hAnsi="Times New Roman"/>
                <w:lang w:eastAsia="cs-CZ"/>
              </w:rPr>
              <w:t xml:space="preserve"> ods. 1 písm. a) a písm. d) ZVO</w:t>
            </w:r>
            <w:r w:rsidRPr="009D6162">
              <w:rPr>
                <w:rFonts w:ascii="Times New Roman" w:eastAsia="Times New Roman" w:hAnsi="Times New Roman"/>
                <w:lang w:eastAsia="cs-CZ"/>
              </w:rPr>
              <w:t xml:space="preserve">. </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Ide aj o prípady, keď neboli splnené podmienky na zmenu zmluvy podľa § 18 ods. 1 písm. b) ZVO alebo podľa § 18 ods. 1 písm. c) ZVO, ale zároveň jednou zmenou zmluvy (dodatkom) nedošlo k navýšeniu hodnoty plnenia o viac ako 50 % z hodnoty pôvodnej zmluvy, rámcovej dohody alebo koncesnej zmluvy.</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 xml:space="preserve">Finančná oprava sa v prípade zákaziek realizovaných podľa ZVO neuplatňuje, ak </w:t>
            </w:r>
            <w:r>
              <w:rPr>
                <w:rFonts w:ascii="Times New Roman" w:eastAsia="Times New Roman" w:hAnsi="Times New Roman"/>
                <w:lang w:eastAsia="cs-CZ"/>
              </w:rPr>
              <w:t>v zmysle § 18 ods. 3 ZVO</w:t>
            </w:r>
          </w:p>
          <w:p w:rsidR="009B2597" w:rsidRPr="009D6162" w:rsidRDefault="009B2597" w:rsidP="00984AE0">
            <w:pPr>
              <w:numPr>
                <w:ilvl w:val="0"/>
                <w:numId w:val="2"/>
              </w:numPr>
              <w:spacing w:after="0" w:line="240" w:lineRule="auto"/>
              <w:contextualSpacing/>
              <w:jc w:val="both"/>
              <w:rPr>
                <w:rFonts w:ascii="Times New Roman" w:eastAsia="Times New Roman" w:hAnsi="Times New Roman"/>
                <w:lang w:eastAsia="cs-CZ"/>
              </w:rPr>
            </w:pPr>
            <w:r w:rsidRPr="009D6162">
              <w:rPr>
                <w:rFonts w:ascii="Times New Roman" w:eastAsia="Times New Roman" w:hAnsi="Times New Roman"/>
                <w:lang w:eastAsia="cs-CZ"/>
              </w:rPr>
              <w:t xml:space="preserve">hodnota všetkých zmien je nižšia ako finančný limit pre nadlimitnú zákazku a zároveň je nižšia ako </w:t>
            </w:r>
          </w:p>
          <w:p w:rsidR="009B2597" w:rsidRPr="009D6162" w:rsidRDefault="009B2597" w:rsidP="00984AE0">
            <w:pPr>
              <w:numPr>
                <w:ilvl w:val="0"/>
                <w:numId w:val="2"/>
              </w:numPr>
              <w:spacing w:after="0" w:line="240" w:lineRule="auto"/>
              <w:contextualSpacing/>
              <w:jc w:val="both"/>
              <w:rPr>
                <w:rFonts w:ascii="Times New Roman" w:eastAsia="Times New Roman" w:hAnsi="Times New Roman"/>
                <w:lang w:eastAsia="cs-CZ"/>
              </w:rPr>
            </w:pPr>
            <w:r w:rsidRPr="009D6162">
              <w:rPr>
                <w:rFonts w:ascii="Times New Roman" w:eastAsia="Times New Roman" w:hAnsi="Times New Roman"/>
                <w:lang w:eastAsia="cs-CZ"/>
              </w:rPr>
              <w:t xml:space="preserve">15 % hodnoty pôvodnej zmluvy alebo rámcovej dohody, ak ide o zákazku na uskutočnenie stavebných prác, </w:t>
            </w:r>
          </w:p>
          <w:p w:rsidR="009B2597" w:rsidRPr="009D6162" w:rsidRDefault="009B2597" w:rsidP="00984AE0">
            <w:pPr>
              <w:numPr>
                <w:ilvl w:val="0"/>
                <w:numId w:val="2"/>
              </w:numPr>
              <w:spacing w:after="0" w:line="240" w:lineRule="auto"/>
              <w:contextualSpacing/>
              <w:jc w:val="both"/>
              <w:rPr>
                <w:rFonts w:ascii="Times New Roman" w:eastAsia="Times New Roman" w:hAnsi="Times New Roman"/>
                <w:lang w:eastAsia="cs-CZ"/>
              </w:rPr>
            </w:pPr>
            <w:r w:rsidRPr="009D6162">
              <w:rPr>
                <w:rFonts w:ascii="Times New Roman" w:eastAsia="Times New Roman" w:hAnsi="Times New Roman"/>
                <w:lang w:eastAsia="cs-CZ"/>
              </w:rPr>
              <w:t xml:space="preserve">10 % hodnoty pôvodnej zmluvy alebo rámcovej dohody, ak ide o zákazku na dodanie tovaru alebo na poskytnutie služby, alebo </w:t>
            </w:r>
          </w:p>
          <w:p w:rsidR="009B2597" w:rsidRPr="009D6162" w:rsidRDefault="009B2597" w:rsidP="00984AE0">
            <w:pPr>
              <w:numPr>
                <w:ilvl w:val="0"/>
                <w:numId w:val="2"/>
              </w:numPr>
              <w:spacing w:after="0" w:line="240" w:lineRule="auto"/>
              <w:contextualSpacing/>
              <w:jc w:val="both"/>
              <w:rPr>
                <w:rFonts w:ascii="Times New Roman" w:eastAsia="Times New Roman" w:hAnsi="Times New Roman"/>
                <w:lang w:eastAsia="cs-CZ"/>
              </w:rPr>
            </w:pPr>
            <w:r w:rsidRPr="009D6162">
              <w:rPr>
                <w:rFonts w:ascii="Times New Roman" w:eastAsia="Times New Roman" w:hAnsi="Times New Roman"/>
                <w:lang w:eastAsia="cs-CZ"/>
              </w:rPr>
              <w:t>10 % hodnoty pôvodnej koncesnej zmluvy, ak ide o koncesiu.</w:t>
            </w: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Zmenou sa zároveň nesmie meniť charakter zmluvy, rámcovej dohody alebo koncesnej zmluvy.</w:t>
            </w:r>
          </w:p>
          <w:p w:rsidR="009B2597" w:rsidRPr="009D6162" w:rsidRDefault="009B2597" w:rsidP="00984AE0">
            <w:pPr>
              <w:spacing w:after="0" w:line="240" w:lineRule="auto"/>
              <w:jc w:val="both"/>
              <w:rPr>
                <w:rFonts w:ascii="Times New Roman" w:eastAsia="Times New Roman" w:hAnsi="Times New Roman"/>
                <w:lang w:eastAsia="cs-CZ"/>
              </w:rPr>
            </w:pP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Opakované zmeny zmluvy nie je možné vykonať s cieľom vyhnúť sa použitiu postupov podľa ZVO.</w:t>
            </w:r>
          </w:p>
          <w:p w:rsidR="009B2597" w:rsidRPr="009D6162" w:rsidRDefault="009B2597" w:rsidP="00984AE0">
            <w:pPr>
              <w:spacing w:after="0" w:line="240" w:lineRule="auto"/>
              <w:jc w:val="both"/>
              <w:rPr>
                <w:rFonts w:ascii="Times New Roman" w:eastAsia="Times New Roman" w:hAnsi="Times New Roman"/>
                <w:lang w:eastAsia="cs-CZ"/>
              </w:rPr>
            </w:pP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lastRenderedPageBreak/>
              <w:t>25 % z ceny zmluvy</w:t>
            </w: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a 25% z hodnoty dodatočných výdavkov vychádzajúcich zo zmien zmluvy.</w:t>
            </w:r>
          </w:p>
        </w:tc>
      </w:tr>
      <w:tr w:rsidR="009B2597" w:rsidRPr="009D6162" w:rsidTr="00984AE0">
        <w:trPr>
          <w:trHeight w:val="1371"/>
        </w:trPr>
        <w:tc>
          <w:tcPr>
            <w:tcW w:w="675" w:type="dxa"/>
            <w:vMerge/>
            <w:shd w:val="clear" w:color="auto" w:fill="auto"/>
            <w:vAlign w:val="center"/>
          </w:tcPr>
          <w:p w:rsidR="009B2597" w:rsidRPr="009D6162" w:rsidRDefault="009B2597" w:rsidP="00984AE0">
            <w:pPr>
              <w:spacing w:after="0" w:line="240" w:lineRule="auto"/>
              <w:jc w:val="center"/>
              <w:rPr>
                <w:rFonts w:ascii="Times New Roman" w:eastAsia="Times New Roman" w:hAnsi="Times New Roman"/>
                <w:lang w:eastAsia="cs-CZ"/>
              </w:rPr>
            </w:pPr>
          </w:p>
        </w:tc>
        <w:tc>
          <w:tcPr>
            <w:tcW w:w="3720" w:type="dxa"/>
            <w:vMerge/>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p>
        </w:tc>
        <w:tc>
          <w:tcPr>
            <w:tcW w:w="7087"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Ide o prípady, keď zmenou zmluvy (dodatkom) došlo k navýšeniu hodnoty plnenia o viac ako 50 % z hodnoty pôvodnej zmluvy, rámcovej dohody alebo koncesnej zmluvy.</w:t>
            </w:r>
          </w:p>
        </w:tc>
        <w:tc>
          <w:tcPr>
            <w:tcW w:w="2552" w:type="dxa"/>
            <w:shd w:val="clear" w:color="auto" w:fill="auto"/>
          </w:tcPr>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25 % z ceny zmluvy</w:t>
            </w:r>
          </w:p>
          <w:p w:rsidR="009B2597" w:rsidRPr="009D6162" w:rsidRDefault="009B2597" w:rsidP="00984AE0">
            <w:pPr>
              <w:spacing w:after="0" w:line="240" w:lineRule="auto"/>
              <w:jc w:val="both"/>
              <w:rPr>
                <w:rFonts w:ascii="Times New Roman" w:eastAsia="Times New Roman" w:hAnsi="Times New Roman"/>
                <w:lang w:eastAsia="cs-CZ"/>
              </w:rPr>
            </w:pPr>
            <w:r w:rsidRPr="009D6162">
              <w:rPr>
                <w:rFonts w:ascii="Times New Roman" w:eastAsia="Times New Roman" w:hAnsi="Times New Roman"/>
                <w:lang w:eastAsia="cs-CZ"/>
              </w:rPr>
              <w:t>a  100 % hodnoty dodatočných výdavkov vychádzajúcich zo zmien zmluvy.</w:t>
            </w:r>
          </w:p>
        </w:tc>
      </w:tr>
    </w:tbl>
    <w:p w:rsidR="00E71462" w:rsidRDefault="00E71462"/>
    <w:sectPr w:rsidR="00E71462" w:rsidSect="009B2597">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597" w:rsidRDefault="009B2597" w:rsidP="009B2597">
      <w:pPr>
        <w:spacing w:after="0" w:line="240" w:lineRule="auto"/>
      </w:pPr>
      <w:r>
        <w:separator/>
      </w:r>
    </w:p>
  </w:endnote>
  <w:endnote w:type="continuationSeparator" w:id="0">
    <w:p w:rsidR="009B2597" w:rsidRDefault="009B2597" w:rsidP="009B2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597" w:rsidRDefault="009B2597" w:rsidP="009B2597">
      <w:pPr>
        <w:spacing w:after="0" w:line="240" w:lineRule="auto"/>
      </w:pPr>
      <w:r>
        <w:separator/>
      </w:r>
    </w:p>
  </w:footnote>
  <w:footnote w:type="continuationSeparator" w:id="0">
    <w:p w:rsidR="009B2597" w:rsidRDefault="009B2597" w:rsidP="009B2597">
      <w:pPr>
        <w:spacing w:after="0" w:line="240" w:lineRule="auto"/>
      </w:pPr>
      <w:r>
        <w:continuationSeparator/>
      </w:r>
    </w:p>
  </w:footnote>
  <w:footnote w:id="1">
    <w:p w:rsidR="009B2597" w:rsidRDefault="009B2597" w:rsidP="009B2597">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rsidR="009B2597" w:rsidRPr="0071245E" w:rsidRDefault="009B2597" w:rsidP="009B2597">
      <w:pPr>
        <w:pStyle w:val="Textpoznmkypodiarou"/>
        <w:jc w:val="both"/>
      </w:pPr>
      <w:r w:rsidRPr="0071245E">
        <w:rPr>
          <w:rStyle w:val="Odkaznapoznmkupodiarou"/>
        </w:rPr>
        <w:footnoteRef/>
      </w:r>
      <w:r>
        <w:t xml:space="preserve"> </w:t>
      </w:r>
      <w:r>
        <w:t>Uvedený typ porušenia sa primerane vzťahuje aj na minimálne lehoty na predkladanie ponúk upravené v </w:t>
      </w:r>
      <w:r>
        <w:rPr>
          <w:lang w:val="sk-SK"/>
        </w:rPr>
        <w:t>P</w:t>
      </w:r>
      <w:proofErr w:type="spellStart"/>
      <w:r>
        <w:t>ríručke</w:t>
      </w:r>
      <w:proofErr w:type="spellEnd"/>
      <w:r>
        <w:t xml:space="preserve"> k procesu a kontrole VO/obstarávania</w:t>
      </w:r>
    </w:p>
  </w:footnote>
  <w:footnote w:id="3">
    <w:p w:rsidR="009B2597" w:rsidRPr="0071245E" w:rsidRDefault="009B2597" w:rsidP="009B2597">
      <w:pPr>
        <w:pStyle w:val="Textpoznmkypodiarou"/>
      </w:pPr>
      <w:r w:rsidRPr="0071245E">
        <w:rPr>
          <w:rStyle w:val="Odkaznapoznmkupodiarou"/>
        </w:rPr>
        <w:footnoteRef/>
      </w:r>
      <w:r w:rsidRPr="0071245E">
        <w:t xml:space="preserve"> </w:t>
      </w:r>
      <w:r w:rsidRPr="0071245E">
        <w:t>Lehoty sú stanovené pre užšiu súťaž</w:t>
      </w:r>
      <w:r>
        <w:rPr>
          <w:lang w:val="sk-SK"/>
        </w:rPr>
        <w:t xml:space="preserve">, </w:t>
      </w:r>
      <w:r w:rsidRPr="0071245E">
        <w:t>rokovacie konanie so zverejnením</w:t>
      </w:r>
      <w:r>
        <w:rPr>
          <w:lang w:val="sk-SK"/>
        </w:rPr>
        <w:t xml:space="preserve"> a súťažný dialóg</w:t>
      </w:r>
      <w:r w:rsidRPr="0071245E">
        <w:t>.</w:t>
      </w:r>
    </w:p>
  </w:footnote>
  <w:footnote w:id="4">
    <w:p w:rsidR="009B2597" w:rsidRPr="0071245E" w:rsidRDefault="009B2597" w:rsidP="009B2597">
      <w:pPr>
        <w:pStyle w:val="Textpoznmkypodiarou"/>
        <w:jc w:val="both"/>
      </w:pPr>
      <w:r w:rsidRPr="0071245E">
        <w:rPr>
          <w:rStyle w:val="Odkaznapoznmkupodiarou"/>
        </w:rPr>
        <w:footnoteRef/>
      </w:r>
      <w:r>
        <w:t xml:space="preserve"> </w:t>
      </w:r>
      <w:r>
        <w:t xml:space="preserve">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rsidR="009B2597" w:rsidRPr="0071245E" w:rsidRDefault="009B2597" w:rsidP="009B2597">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6">
    <w:p w:rsidR="009B2597" w:rsidRPr="0071245E" w:rsidRDefault="009B2597" w:rsidP="009B2597">
      <w:pPr>
        <w:pStyle w:val="Textpoznmkypodiarou"/>
      </w:pPr>
      <w:r w:rsidRPr="0071245E">
        <w:rPr>
          <w:rStyle w:val="Odkaznapoznmkupodiarou"/>
        </w:rPr>
        <w:footnoteRef/>
      </w:r>
      <w:r>
        <w:t xml:space="preserve"> </w:t>
      </w:r>
      <w:r>
        <w:t>napr. ak je rámcová dohoda uzavretá na obdobie presahujúce 4 roky, pričom nejde o výnimočný prípad odôvodnení predmetom rámcovej dohody</w:t>
      </w:r>
    </w:p>
  </w:footnote>
  <w:footnote w:id="7">
    <w:p w:rsidR="009B2597" w:rsidRPr="0071245E" w:rsidRDefault="009B2597" w:rsidP="009B2597">
      <w:pPr>
        <w:pStyle w:val="Textpoznmkypodiarou"/>
      </w:pPr>
      <w:r w:rsidRPr="0071245E">
        <w:rPr>
          <w:rStyle w:val="Odkaznapoznmkupodiarou"/>
        </w:rPr>
        <w:footnoteRef/>
      </w:r>
      <w:r>
        <w:t xml:space="preserve"> </w:t>
      </w:r>
      <w:r>
        <w:t>napr. ak je rámcová dohoda uzavretá na obdobie presahujúce 4 roky, pričom nejde o výnimočný prípad odôvodnení predmetom rámcovej dohody</w:t>
      </w:r>
    </w:p>
  </w:footnote>
  <w:footnote w:id="8">
    <w:p w:rsidR="009B2597" w:rsidRDefault="009B2597" w:rsidP="009B2597">
      <w:pPr>
        <w:pStyle w:val="Textpoznmkypodiarou"/>
      </w:pPr>
      <w:r>
        <w:rPr>
          <w:rStyle w:val="Odkaznapoznmkupodiarou"/>
        </w:rPr>
        <w:footnoteRef/>
      </w:r>
      <w:r>
        <w:t xml:space="preserve"> </w:t>
      </w:r>
      <w:r>
        <w:t>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rsidR="009B2597" w:rsidRDefault="009B2597" w:rsidP="009B2597"/>
    <w:p w:rsidR="009B2597" w:rsidRDefault="009B2597" w:rsidP="009B2597">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597" w:rsidRPr="009B2597" w:rsidRDefault="009B2597" w:rsidP="009B2597">
    <w:pPr>
      <w:pStyle w:val="Nadpis2"/>
      <w:jc w:val="both"/>
      <w:rPr>
        <w:rFonts w:ascii="Times New Roman" w:hAnsi="Times New Roman"/>
      </w:rPr>
    </w:pPr>
    <w:r w:rsidRPr="00273620">
      <w:rPr>
        <w:rFonts w:ascii="Times New Roman" w:hAnsi="Times New Roman"/>
      </w:rPr>
      <w:t xml:space="preserve">Príloha č. </w:t>
    </w:r>
    <w:r w:rsidRPr="005251C7">
      <w:rPr>
        <w:rFonts w:ascii="Times New Roman" w:hAnsi="Times New Roman"/>
      </w:rPr>
      <w:t>1</w:t>
    </w:r>
    <w:r>
      <w:rPr>
        <w:rFonts w:ascii="Times New Roman" w:hAnsi="Times New Roman"/>
        <w:lang w:val="sk-SK"/>
      </w:rPr>
      <w:t>1</w:t>
    </w:r>
    <w:r w:rsidRPr="005251C7">
      <w:rPr>
        <w:rFonts w:ascii="Times New Roman" w:hAnsi="Times New Roman"/>
      </w:rPr>
      <w:t xml:space="preserve"> Finančné opravy za porušenie pravidiel a postupov VO a obstarávania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97"/>
    <w:rsid w:val="009B2597"/>
    <w:rsid w:val="00E714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A9BB1"/>
  <w15:chartTrackingRefBased/>
  <w15:docId w15:val="{2A647685-D64C-43A3-8F46-BAA029D4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B2597"/>
    <w:pPr>
      <w:spacing w:after="200" w:line="276" w:lineRule="auto"/>
    </w:pPr>
    <w:rPr>
      <w:rFonts w:ascii="Calibri" w:eastAsia="Calibri" w:hAnsi="Calibri" w:cs="Times New Roman"/>
    </w:rPr>
  </w:style>
  <w:style w:type="paragraph" w:styleId="Nadpis2">
    <w:name w:val="heading 2"/>
    <w:basedOn w:val="Normlny"/>
    <w:next w:val="Normlny"/>
    <w:link w:val="Nadpis2Char"/>
    <w:uiPriority w:val="9"/>
    <w:unhideWhenUsed/>
    <w:qFormat/>
    <w:rsid w:val="009B2597"/>
    <w:pPr>
      <w:keepNext/>
      <w:keepLines/>
      <w:spacing w:before="240" w:after="120"/>
      <w:outlineLvl w:val="1"/>
    </w:pPr>
    <w:rPr>
      <w:rFonts w:eastAsia="Times New Roman"/>
      <w:b/>
      <w:bCs/>
      <w:color w:val="4F81BD"/>
      <w:sz w:val="26"/>
      <w:szCs w:val="26"/>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B2597"/>
    <w:rPr>
      <w:rFonts w:ascii="Calibri" w:eastAsia="Times New Roman" w:hAnsi="Calibri" w:cs="Times New Roman"/>
      <w:b/>
      <w:bCs/>
      <w:color w:val="4F81BD"/>
      <w:sz w:val="26"/>
      <w:szCs w:val="26"/>
      <w:lang w:val="x-none" w:eastAsia="x-none"/>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9B2597"/>
    <w:pPr>
      <w:spacing w:after="0" w:line="240" w:lineRule="auto"/>
      <w:ind w:left="2160"/>
    </w:pPr>
    <w:rPr>
      <w:rFonts w:eastAsia="Times New Roman"/>
      <w:color w:val="5A5A5A"/>
      <w:sz w:val="20"/>
      <w:szCs w:val="20"/>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9B2597"/>
    <w:rPr>
      <w:rFonts w:ascii="Calibri" w:eastAsia="Times New Roman" w:hAnsi="Calibri" w:cs="Times New Roman"/>
      <w:color w:val="5A5A5A"/>
      <w:sz w:val="20"/>
      <w:szCs w:val="20"/>
      <w:lang w:val="x-none" w:eastAsia="x-non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9B2597"/>
    <w:rPr>
      <w:vertAlign w:val="superscript"/>
    </w:rPr>
  </w:style>
  <w:style w:type="paragraph" w:customStyle="1" w:styleId="Char2">
    <w:name w:val="Char2"/>
    <w:basedOn w:val="Normlny"/>
    <w:link w:val="Odkaznapoznmkupodiarou"/>
    <w:uiPriority w:val="99"/>
    <w:rsid w:val="009B2597"/>
    <w:pPr>
      <w:spacing w:after="160" w:line="240" w:lineRule="exact"/>
    </w:pPr>
    <w:rPr>
      <w:rFonts w:asciiTheme="minorHAnsi" w:eastAsiaTheme="minorHAnsi" w:hAnsiTheme="minorHAnsi" w:cstheme="minorBidi"/>
      <w:vertAlign w:val="superscript"/>
    </w:rPr>
  </w:style>
  <w:style w:type="paragraph" w:styleId="Hlavika">
    <w:name w:val="header"/>
    <w:basedOn w:val="Normlny"/>
    <w:link w:val="HlavikaChar"/>
    <w:uiPriority w:val="99"/>
    <w:unhideWhenUsed/>
    <w:rsid w:val="009B259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2597"/>
    <w:rPr>
      <w:rFonts w:ascii="Calibri" w:eastAsia="Calibri" w:hAnsi="Calibri" w:cs="Times New Roman"/>
    </w:rPr>
  </w:style>
  <w:style w:type="paragraph" w:styleId="Pta">
    <w:name w:val="footer"/>
    <w:basedOn w:val="Normlny"/>
    <w:link w:val="PtaChar"/>
    <w:uiPriority w:val="99"/>
    <w:unhideWhenUsed/>
    <w:rsid w:val="009B2597"/>
    <w:pPr>
      <w:tabs>
        <w:tab w:val="center" w:pos="4536"/>
        <w:tab w:val="right" w:pos="9072"/>
      </w:tabs>
      <w:spacing w:after="0" w:line="240" w:lineRule="auto"/>
    </w:pPr>
  </w:style>
  <w:style w:type="character" w:customStyle="1" w:styleId="PtaChar">
    <w:name w:val="Päta Char"/>
    <w:basedOn w:val="Predvolenpsmoodseku"/>
    <w:link w:val="Pta"/>
    <w:uiPriority w:val="99"/>
    <w:rsid w:val="009B259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4581</Words>
  <Characters>26114</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Zorkóczyová, Ema</dc:creator>
  <cp:keywords/>
  <dc:description/>
  <cp:lastModifiedBy>Zorkóczyová, Ema</cp:lastModifiedBy>
  <cp:revision>1</cp:revision>
  <dcterms:created xsi:type="dcterms:W3CDTF">2025-03-05T10:06:00Z</dcterms:created>
  <dcterms:modified xsi:type="dcterms:W3CDTF">2025-03-05T10:07:00Z</dcterms:modified>
</cp:coreProperties>
</file>